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C12" w:rsidRPr="001A5B94" w:rsidRDefault="00614C12" w:rsidP="00614C12">
      <w:pPr>
        <w:spacing w:after="0" w:line="240" w:lineRule="auto"/>
        <w:rPr>
          <w:rFonts w:ascii="Times New Roman" w:eastAsia="Calibri" w:hAnsi="Times New Roman" w:cs="Times New Roman"/>
          <w:b/>
          <w:sz w:val="24"/>
          <w:szCs w:val="24"/>
        </w:rPr>
      </w:pPr>
      <w:r w:rsidRPr="001A5B94">
        <w:rPr>
          <w:rFonts w:ascii="Times New Roman" w:eastAsia="Calibri" w:hAnsi="Times New Roman" w:cs="Times New Roman"/>
          <w:b/>
          <w:sz w:val="24"/>
          <w:szCs w:val="24"/>
        </w:rPr>
        <w:t>Sveučilište u Rijeci</w:t>
      </w:r>
    </w:p>
    <w:p w:rsidR="00614C12" w:rsidRPr="001A5B94" w:rsidRDefault="00614C12" w:rsidP="00614C12">
      <w:pPr>
        <w:spacing w:after="0" w:line="240" w:lineRule="auto"/>
        <w:rPr>
          <w:rFonts w:ascii="Times New Roman" w:eastAsia="Calibri" w:hAnsi="Times New Roman" w:cs="Times New Roman"/>
          <w:b/>
          <w:sz w:val="24"/>
          <w:szCs w:val="24"/>
        </w:rPr>
      </w:pPr>
      <w:r w:rsidRPr="001A5B94">
        <w:rPr>
          <w:rFonts w:ascii="Times New Roman" w:eastAsia="Calibri" w:hAnsi="Times New Roman" w:cs="Times New Roman"/>
          <w:b/>
          <w:sz w:val="24"/>
          <w:szCs w:val="24"/>
        </w:rPr>
        <w:t xml:space="preserve">Pomorski </w:t>
      </w:r>
      <w:r>
        <w:rPr>
          <w:rFonts w:ascii="Times New Roman" w:eastAsia="Calibri" w:hAnsi="Times New Roman" w:cs="Times New Roman"/>
          <w:b/>
          <w:sz w:val="24"/>
          <w:szCs w:val="24"/>
        </w:rPr>
        <w:t>f</w:t>
      </w:r>
      <w:r w:rsidRPr="001A5B94">
        <w:rPr>
          <w:rFonts w:ascii="Times New Roman" w:eastAsia="Calibri" w:hAnsi="Times New Roman" w:cs="Times New Roman"/>
          <w:b/>
          <w:sz w:val="24"/>
          <w:szCs w:val="24"/>
        </w:rPr>
        <w:t xml:space="preserve">akultet </w:t>
      </w:r>
    </w:p>
    <w:p w:rsidR="00614C12" w:rsidRDefault="00614C12" w:rsidP="00614C12">
      <w:pPr>
        <w:spacing w:after="0" w:line="240" w:lineRule="auto"/>
        <w:rPr>
          <w:rFonts w:ascii="Times New Roman" w:eastAsia="Calibri" w:hAnsi="Times New Roman" w:cs="Times New Roman"/>
          <w:b/>
          <w:sz w:val="24"/>
          <w:szCs w:val="24"/>
        </w:rPr>
      </w:pPr>
      <w:r w:rsidRPr="001A5B94">
        <w:rPr>
          <w:rFonts w:ascii="Times New Roman" w:eastAsia="Calibri" w:hAnsi="Times New Roman" w:cs="Times New Roman"/>
          <w:b/>
          <w:sz w:val="24"/>
          <w:szCs w:val="24"/>
        </w:rPr>
        <w:t>OIB 76722145702</w:t>
      </w:r>
    </w:p>
    <w:p w:rsidR="00614C12" w:rsidRPr="001A5B94" w:rsidRDefault="00614C12" w:rsidP="00614C1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RKP</w:t>
      </w:r>
      <w:r w:rsidR="00751E8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22568</w:t>
      </w:r>
    </w:p>
    <w:p w:rsidR="00614C12" w:rsidRDefault="00614C12" w:rsidP="00624C16">
      <w:pPr>
        <w:spacing w:line="240" w:lineRule="auto"/>
        <w:jc w:val="center"/>
        <w:rPr>
          <w:rFonts w:ascii="Times New Roman" w:hAnsi="Times New Roman" w:cs="Times New Roman"/>
          <w:b/>
          <w:sz w:val="24"/>
          <w:szCs w:val="24"/>
        </w:rPr>
      </w:pPr>
    </w:p>
    <w:p w:rsidR="00614C12" w:rsidRDefault="00614C12" w:rsidP="00624C16">
      <w:pPr>
        <w:spacing w:line="240" w:lineRule="auto"/>
        <w:jc w:val="center"/>
        <w:rPr>
          <w:rFonts w:ascii="Times New Roman" w:hAnsi="Times New Roman" w:cs="Times New Roman"/>
          <w:b/>
          <w:sz w:val="24"/>
          <w:szCs w:val="24"/>
        </w:rPr>
      </w:pPr>
    </w:p>
    <w:p w:rsidR="00397719" w:rsidRPr="001A5B94" w:rsidRDefault="00614C12" w:rsidP="00397719">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Obrazloženje Općeg dijela </w:t>
      </w:r>
      <w:r w:rsidR="00751E84">
        <w:rPr>
          <w:rFonts w:ascii="Times New Roman" w:eastAsia="Calibri" w:hAnsi="Times New Roman" w:cs="Times New Roman"/>
          <w:b/>
          <w:sz w:val="32"/>
          <w:szCs w:val="32"/>
        </w:rPr>
        <w:t xml:space="preserve">izvještaja o izvršenju financijskog </w:t>
      </w:r>
      <w:r w:rsidR="00397719">
        <w:rPr>
          <w:rFonts w:ascii="Times New Roman" w:eastAsia="Calibri" w:hAnsi="Times New Roman" w:cs="Times New Roman"/>
          <w:b/>
          <w:sz w:val="32"/>
          <w:szCs w:val="32"/>
        </w:rPr>
        <w:t xml:space="preserve">plana za </w:t>
      </w:r>
      <w:r w:rsidR="00397719" w:rsidRPr="001A5B94">
        <w:rPr>
          <w:rFonts w:ascii="Times New Roman" w:eastAsia="Calibri" w:hAnsi="Times New Roman" w:cs="Times New Roman"/>
          <w:b/>
          <w:sz w:val="32"/>
          <w:szCs w:val="32"/>
        </w:rPr>
        <w:t xml:space="preserve">2023. </w:t>
      </w:r>
      <w:r w:rsidR="00397719">
        <w:rPr>
          <w:rFonts w:ascii="Times New Roman" w:eastAsia="Calibri" w:hAnsi="Times New Roman" w:cs="Times New Roman"/>
          <w:b/>
          <w:sz w:val="32"/>
          <w:szCs w:val="32"/>
        </w:rPr>
        <w:t>g</w:t>
      </w:r>
      <w:r w:rsidR="00397719" w:rsidRPr="001A5B94">
        <w:rPr>
          <w:rFonts w:ascii="Times New Roman" w:eastAsia="Calibri" w:hAnsi="Times New Roman" w:cs="Times New Roman"/>
          <w:b/>
          <w:sz w:val="32"/>
          <w:szCs w:val="32"/>
        </w:rPr>
        <w:t>odin</w:t>
      </w:r>
      <w:r w:rsidR="00397719">
        <w:rPr>
          <w:rFonts w:ascii="Times New Roman" w:eastAsia="Calibri" w:hAnsi="Times New Roman" w:cs="Times New Roman"/>
          <w:b/>
          <w:sz w:val="32"/>
          <w:szCs w:val="32"/>
        </w:rPr>
        <w:t>u</w:t>
      </w:r>
    </w:p>
    <w:p w:rsidR="00A6013C" w:rsidRDefault="00A6013C" w:rsidP="00397719">
      <w:pPr>
        <w:spacing w:after="0" w:line="240" w:lineRule="auto"/>
        <w:jc w:val="center"/>
        <w:rPr>
          <w:rFonts w:ascii="Times New Roman" w:hAnsi="Times New Roman" w:cs="Times New Roman"/>
          <w:sz w:val="24"/>
          <w:szCs w:val="24"/>
        </w:rPr>
      </w:pPr>
    </w:p>
    <w:p w:rsidR="00843880" w:rsidRPr="00843880" w:rsidRDefault="00843880" w:rsidP="00843880">
      <w:pPr>
        <w:spacing w:line="240" w:lineRule="auto"/>
        <w:jc w:val="both"/>
        <w:rPr>
          <w:rFonts w:ascii="Times New Roman" w:hAnsi="Times New Roman" w:cs="Times New Roman"/>
          <w:sz w:val="24"/>
          <w:szCs w:val="24"/>
        </w:rPr>
      </w:pPr>
      <w:r w:rsidRPr="00843880">
        <w:rPr>
          <w:rFonts w:ascii="Times New Roman" w:hAnsi="Times New Roman" w:cs="Times New Roman"/>
          <w:sz w:val="24"/>
          <w:szCs w:val="24"/>
        </w:rPr>
        <w:t>Izvještaj o izvršenju financijskog plana i financijskom poslovanju u 202</w:t>
      </w:r>
      <w:r>
        <w:rPr>
          <w:rFonts w:ascii="Times New Roman" w:hAnsi="Times New Roman" w:cs="Times New Roman"/>
          <w:sz w:val="24"/>
          <w:szCs w:val="24"/>
        </w:rPr>
        <w:t>3</w:t>
      </w:r>
      <w:r w:rsidRPr="00843880">
        <w:rPr>
          <w:rFonts w:ascii="Times New Roman" w:hAnsi="Times New Roman" w:cs="Times New Roman"/>
          <w:sz w:val="24"/>
          <w:szCs w:val="24"/>
        </w:rPr>
        <w:t xml:space="preserve">. godini </w:t>
      </w:r>
      <w:r w:rsidR="00397719">
        <w:rPr>
          <w:rFonts w:ascii="Times New Roman" w:hAnsi="Times New Roman" w:cs="Times New Roman"/>
          <w:sz w:val="24"/>
          <w:szCs w:val="24"/>
        </w:rPr>
        <w:t>izrađen je</w:t>
      </w:r>
      <w:r w:rsidRPr="00843880">
        <w:rPr>
          <w:rFonts w:ascii="Times New Roman" w:hAnsi="Times New Roman" w:cs="Times New Roman"/>
          <w:sz w:val="24"/>
          <w:szCs w:val="24"/>
        </w:rPr>
        <w:t xml:space="preserve"> po </w:t>
      </w:r>
      <w:r>
        <w:rPr>
          <w:rFonts w:ascii="Times New Roman" w:hAnsi="Times New Roman" w:cs="Times New Roman"/>
          <w:sz w:val="24"/>
          <w:szCs w:val="24"/>
        </w:rPr>
        <w:t xml:space="preserve">modificiranom gotovinskom </w:t>
      </w:r>
      <w:r w:rsidRPr="00843880">
        <w:rPr>
          <w:rFonts w:ascii="Times New Roman" w:hAnsi="Times New Roman" w:cs="Times New Roman"/>
          <w:sz w:val="24"/>
          <w:szCs w:val="24"/>
        </w:rPr>
        <w:t xml:space="preserve">načelu, odnosno prihodi su iskazani u iznosima kojima su naplaćeni i raspoloživi, a rashodi u trenutku plaćanja, neovisno o tome na koje razdoblje se odnose. </w:t>
      </w:r>
    </w:p>
    <w:p w:rsidR="00397719" w:rsidRPr="00B83A98" w:rsidRDefault="00397719" w:rsidP="00397719">
      <w:pPr>
        <w:spacing w:line="240" w:lineRule="auto"/>
        <w:jc w:val="both"/>
        <w:rPr>
          <w:rFonts w:ascii="Times New Roman" w:hAnsi="Times New Roman" w:cs="Times New Roman"/>
          <w:sz w:val="24"/>
          <w:szCs w:val="24"/>
        </w:rPr>
      </w:pPr>
      <w:r w:rsidRPr="00B83A98">
        <w:rPr>
          <w:rFonts w:ascii="Times New Roman" w:hAnsi="Times New Roman" w:cs="Times New Roman"/>
          <w:sz w:val="24"/>
          <w:szCs w:val="24"/>
        </w:rPr>
        <w:t>Ukupni prihodi za 2023. godinu ostvareni su u iznosu od 6.197.648,92 EUR i manji su za 14,93% u odnosu na ostvarenje prihoda u 2022. godini, dok su u odnosu na prihode planirane rebalansom financijskog plana ostvareni u visini 98,36%.</w:t>
      </w:r>
    </w:p>
    <w:p w:rsidR="00397719" w:rsidRPr="00B83A98" w:rsidRDefault="00397719" w:rsidP="00397719">
      <w:pPr>
        <w:spacing w:line="240" w:lineRule="auto"/>
        <w:jc w:val="both"/>
        <w:rPr>
          <w:rFonts w:ascii="Times New Roman" w:hAnsi="Times New Roman" w:cs="Times New Roman"/>
          <w:sz w:val="24"/>
          <w:szCs w:val="24"/>
        </w:rPr>
      </w:pPr>
      <w:r w:rsidRPr="00B83A98">
        <w:rPr>
          <w:rFonts w:ascii="Times New Roman" w:hAnsi="Times New Roman" w:cs="Times New Roman"/>
          <w:sz w:val="24"/>
          <w:szCs w:val="24"/>
        </w:rPr>
        <w:t>Ukupni rashodi za 2023. godinu izvršeni su u iznosu od 6.241.828,54 EUR i manji su za 15,25% u odnosu na izvršenje rashoda u 2022. godini, dok su u odnosu na rashode planirane rebalansom financijskog plana izvršeni u visini 97,22%.</w:t>
      </w:r>
    </w:p>
    <w:p w:rsidR="00843880" w:rsidRPr="00B83A98" w:rsidRDefault="00843880" w:rsidP="00397719">
      <w:pPr>
        <w:spacing w:line="240" w:lineRule="auto"/>
        <w:jc w:val="both"/>
        <w:rPr>
          <w:rFonts w:ascii="Times New Roman" w:hAnsi="Times New Roman" w:cs="Times New Roman"/>
          <w:sz w:val="24"/>
          <w:szCs w:val="24"/>
        </w:rPr>
      </w:pPr>
      <w:r w:rsidRPr="00B83A98">
        <w:rPr>
          <w:rFonts w:ascii="Times New Roman" w:hAnsi="Times New Roman" w:cs="Times New Roman"/>
          <w:sz w:val="24"/>
          <w:szCs w:val="24"/>
        </w:rPr>
        <w:t>Manjak prihoda u 202</w:t>
      </w:r>
      <w:r w:rsidR="00397719" w:rsidRPr="00B83A98">
        <w:rPr>
          <w:rFonts w:ascii="Times New Roman" w:hAnsi="Times New Roman" w:cs="Times New Roman"/>
          <w:sz w:val="24"/>
          <w:szCs w:val="24"/>
        </w:rPr>
        <w:t>3</w:t>
      </w:r>
      <w:r w:rsidRPr="00B83A98">
        <w:rPr>
          <w:rFonts w:ascii="Times New Roman" w:hAnsi="Times New Roman" w:cs="Times New Roman"/>
          <w:sz w:val="24"/>
          <w:szCs w:val="24"/>
        </w:rPr>
        <w:t xml:space="preserve">. godini iznosi </w:t>
      </w:r>
      <w:r w:rsidR="00397719" w:rsidRPr="00B83A98">
        <w:rPr>
          <w:rFonts w:ascii="Times New Roman" w:hAnsi="Times New Roman" w:cs="Times New Roman"/>
          <w:sz w:val="24"/>
          <w:szCs w:val="24"/>
        </w:rPr>
        <w:t>44.179,62 EUR</w:t>
      </w:r>
      <w:r w:rsidRPr="00B83A98">
        <w:rPr>
          <w:rFonts w:ascii="Times New Roman" w:hAnsi="Times New Roman" w:cs="Times New Roman"/>
          <w:sz w:val="24"/>
          <w:szCs w:val="24"/>
        </w:rPr>
        <w:t xml:space="preserve"> što je </w:t>
      </w:r>
      <w:r w:rsidR="00397719" w:rsidRPr="00B83A98">
        <w:rPr>
          <w:rFonts w:ascii="Times New Roman" w:hAnsi="Times New Roman" w:cs="Times New Roman"/>
          <w:sz w:val="24"/>
          <w:szCs w:val="24"/>
        </w:rPr>
        <w:t>41,87%</w:t>
      </w:r>
      <w:r w:rsidRPr="00B83A98">
        <w:rPr>
          <w:rFonts w:ascii="Times New Roman" w:hAnsi="Times New Roman" w:cs="Times New Roman"/>
          <w:sz w:val="24"/>
          <w:szCs w:val="24"/>
        </w:rPr>
        <w:t xml:space="preserve"> manje u odnosu na</w:t>
      </w:r>
      <w:r w:rsidR="00397719" w:rsidRPr="00B83A98">
        <w:rPr>
          <w:rFonts w:ascii="Times New Roman" w:hAnsi="Times New Roman" w:cs="Times New Roman"/>
          <w:sz w:val="24"/>
          <w:szCs w:val="24"/>
        </w:rPr>
        <w:t xml:space="preserve"> manjak iz</w:t>
      </w:r>
      <w:r w:rsidRPr="00B83A98">
        <w:rPr>
          <w:rFonts w:ascii="Times New Roman" w:hAnsi="Times New Roman" w:cs="Times New Roman"/>
          <w:sz w:val="24"/>
          <w:szCs w:val="24"/>
        </w:rPr>
        <w:t xml:space="preserve"> 202</w:t>
      </w:r>
      <w:r w:rsidR="00397719" w:rsidRPr="00B83A98">
        <w:rPr>
          <w:rFonts w:ascii="Times New Roman" w:hAnsi="Times New Roman" w:cs="Times New Roman"/>
          <w:sz w:val="24"/>
          <w:szCs w:val="24"/>
        </w:rPr>
        <w:t>2</w:t>
      </w:r>
      <w:r w:rsidRPr="00B83A98">
        <w:rPr>
          <w:rFonts w:ascii="Times New Roman" w:hAnsi="Times New Roman" w:cs="Times New Roman"/>
          <w:sz w:val="24"/>
          <w:szCs w:val="24"/>
        </w:rPr>
        <w:t>. godi</w:t>
      </w:r>
      <w:r w:rsidR="00397719" w:rsidRPr="00B83A98">
        <w:rPr>
          <w:rFonts w:ascii="Times New Roman" w:hAnsi="Times New Roman" w:cs="Times New Roman"/>
          <w:sz w:val="24"/>
          <w:szCs w:val="24"/>
        </w:rPr>
        <w:t>ne</w:t>
      </w:r>
      <w:r w:rsidRPr="00B83A98">
        <w:rPr>
          <w:rFonts w:ascii="Times New Roman" w:hAnsi="Times New Roman" w:cs="Times New Roman"/>
          <w:sz w:val="24"/>
          <w:szCs w:val="24"/>
          <w:lang w:val="x-none"/>
        </w:rPr>
        <w:t xml:space="preserve">. </w:t>
      </w:r>
      <w:r w:rsidRPr="00B83A98">
        <w:rPr>
          <w:rFonts w:ascii="Times New Roman" w:hAnsi="Times New Roman" w:cs="Times New Roman"/>
          <w:sz w:val="24"/>
          <w:szCs w:val="24"/>
        </w:rPr>
        <w:t xml:space="preserve"> </w:t>
      </w:r>
    </w:p>
    <w:p w:rsidR="00397719" w:rsidRDefault="00397719" w:rsidP="00397719">
      <w:pPr>
        <w:spacing w:line="240" w:lineRule="auto"/>
        <w:jc w:val="both"/>
        <w:rPr>
          <w:rFonts w:ascii="Times New Roman" w:hAnsi="Times New Roman" w:cs="Times New Roman"/>
          <w:b/>
          <w:sz w:val="24"/>
          <w:szCs w:val="24"/>
        </w:rPr>
      </w:pPr>
    </w:p>
    <w:p w:rsidR="00397719" w:rsidRPr="00AE2812" w:rsidRDefault="00397719" w:rsidP="00397719">
      <w:pPr>
        <w:spacing w:line="240" w:lineRule="auto"/>
        <w:jc w:val="both"/>
        <w:rPr>
          <w:rFonts w:ascii="Times New Roman" w:hAnsi="Times New Roman" w:cs="Times New Roman"/>
          <w:b/>
          <w:sz w:val="24"/>
          <w:szCs w:val="24"/>
        </w:rPr>
      </w:pPr>
      <w:r w:rsidRPr="00AE2812">
        <w:rPr>
          <w:rFonts w:ascii="Times New Roman" w:hAnsi="Times New Roman" w:cs="Times New Roman"/>
          <w:b/>
          <w:sz w:val="24"/>
          <w:szCs w:val="24"/>
        </w:rPr>
        <w:t>PRIHODI I</w:t>
      </w:r>
      <w:r>
        <w:rPr>
          <w:rFonts w:ascii="Times New Roman" w:hAnsi="Times New Roman" w:cs="Times New Roman"/>
          <w:b/>
          <w:sz w:val="24"/>
          <w:szCs w:val="24"/>
        </w:rPr>
        <w:t xml:space="preserve"> RASHODI</w:t>
      </w:r>
    </w:p>
    <w:p w:rsidR="00843880" w:rsidRPr="00843880" w:rsidRDefault="00843880" w:rsidP="00843880">
      <w:pPr>
        <w:spacing w:line="240" w:lineRule="auto"/>
        <w:jc w:val="both"/>
        <w:rPr>
          <w:rFonts w:ascii="Times New Roman" w:hAnsi="Times New Roman" w:cs="Times New Roman"/>
          <w:b/>
          <w:sz w:val="24"/>
          <w:szCs w:val="24"/>
        </w:rPr>
      </w:pPr>
      <w:r w:rsidRPr="00843880">
        <w:rPr>
          <w:rFonts w:ascii="Times New Roman" w:hAnsi="Times New Roman" w:cs="Times New Roman"/>
          <w:b/>
          <w:sz w:val="24"/>
          <w:szCs w:val="24"/>
        </w:rPr>
        <w:t>Tablica 1. Pregled prihoda i rashoda po izvorima financiranja</w:t>
      </w:r>
    </w:p>
    <w:tbl>
      <w:tblPr>
        <w:tblW w:w="9072" w:type="dxa"/>
        <w:tblInd w:w="108" w:type="dxa"/>
        <w:tblLook w:val="04A0" w:firstRow="1" w:lastRow="0" w:firstColumn="1" w:lastColumn="0" w:noHBand="0" w:noVBand="1"/>
      </w:tblPr>
      <w:tblGrid>
        <w:gridCol w:w="4820"/>
        <w:gridCol w:w="1559"/>
        <w:gridCol w:w="1417"/>
        <w:gridCol w:w="1276"/>
      </w:tblGrid>
      <w:tr w:rsidR="00843880" w:rsidRPr="00843880" w:rsidTr="00843880">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43880" w:rsidRPr="00885BCD" w:rsidRDefault="00843880" w:rsidP="00843880">
            <w:pPr>
              <w:spacing w:line="240" w:lineRule="auto"/>
              <w:jc w:val="both"/>
              <w:rPr>
                <w:rFonts w:ascii="Times New Roman" w:hAnsi="Times New Roman" w:cs="Times New Roman"/>
                <w:b/>
                <w:bCs/>
                <w:sz w:val="20"/>
                <w:szCs w:val="20"/>
              </w:rPr>
            </w:pPr>
            <w:r w:rsidRPr="00885BCD">
              <w:rPr>
                <w:rFonts w:ascii="Times New Roman" w:hAnsi="Times New Roman" w:cs="Times New Roman"/>
                <w:b/>
                <w:bCs/>
                <w:sz w:val="20"/>
                <w:szCs w:val="20"/>
              </w:rPr>
              <w:t>IZVOR FINANCIRANJA</w:t>
            </w:r>
          </w:p>
        </w:tc>
        <w:tc>
          <w:tcPr>
            <w:tcW w:w="1559"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43880" w:rsidRPr="00885BCD" w:rsidRDefault="00843880" w:rsidP="00843880">
            <w:pPr>
              <w:spacing w:line="240" w:lineRule="auto"/>
              <w:jc w:val="both"/>
              <w:rPr>
                <w:rFonts w:ascii="Times New Roman" w:hAnsi="Times New Roman" w:cs="Times New Roman"/>
                <w:b/>
                <w:bCs/>
                <w:sz w:val="20"/>
                <w:szCs w:val="20"/>
              </w:rPr>
            </w:pPr>
            <w:r w:rsidRPr="00885BCD">
              <w:rPr>
                <w:rFonts w:ascii="Times New Roman" w:hAnsi="Times New Roman" w:cs="Times New Roman"/>
                <w:b/>
                <w:bCs/>
                <w:sz w:val="20"/>
                <w:szCs w:val="20"/>
              </w:rPr>
              <w:t>PRIHODI</w:t>
            </w:r>
          </w:p>
        </w:tc>
        <w:tc>
          <w:tcPr>
            <w:tcW w:w="1417"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843880" w:rsidRPr="00885BCD" w:rsidRDefault="00843880" w:rsidP="00843880">
            <w:pPr>
              <w:spacing w:line="240" w:lineRule="auto"/>
              <w:jc w:val="both"/>
              <w:rPr>
                <w:rFonts w:ascii="Times New Roman" w:hAnsi="Times New Roman" w:cs="Times New Roman"/>
                <w:b/>
                <w:bCs/>
                <w:sz w:val="20"/>
                <w:szCs w:val="20"/>
              </w:rPr>
            </w:pPr>
            <w:r w:rsidRPr="00885BCD">
              <w:rPr>
                <w:rFonts w:ascii="Times New Roman" w:hAnsi="Times New Roman" w:cs="Times New Roman"/>
                <w:b/>
                <w:bCs/>
                <w:sz w:val="20"/>
                <w:szCs w:val="20"/>
              </w:rPr>
              <w:t>RASHODI</w:t>
            </w:r>
          </w:p>
        </w:tc>
        <w:tc>
          <w:tcPr>
            <w:tcW w:w="1276"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843880" w:rsidRPr="00885BCD" w:rsidRDefault="00843880" w:rsidP="00843880">
            <w:pPr>
              <w:spacing w:line="240" w:lineRule="auto"/>
              <w:jc w:val="both"/>
              <w:rPr>
                <w:rFonts w:ascii="Times New Roman" w:hAnsi="Times New Roman" w:cs="Times New Roman"/>
                <w:b/>
                <w:bCs/>
                <w:sz w:val="20"/>
                <w:szCs w:val="20"/>
              </w:rPr>
            </w:pPr>
            <w:r w:rsidRPr="00885BCD">
              <w:rPr>
                <w:rFonts w:ascii="Times New Roman" w:hAnsi="Times New Roman" w:cs="Times New Roman"/>
                <w:b/>
                <w:bCs/>
                <w:sz w:val="20"/>
                <w:szCs w:val="20"/>
              </w:rPr>
              <w:t>RAZLIKA</w:t>
            </w:r>
          </w:p>
        </w:tc>
      </w:tr>
      <w:tr w:rsidR="00843880" w:rsidRPr="00843880" w:rsidTr="00843880">
        <w:trPr>
          <w:trHeight w:val="58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843880" w:rsidRPr="00536E9A" w:rsidRDefault="00843880" w:rsidP="00843880">
            <w:pPr>
              <w:spacing w:line="240" w:lineRule="auto"/>
              <w:jc w:val="both"/>
              <w:rPr>
                <w:rFonts w:ascii="Times New Roman" w:hAnsi="Times New Roman" w:cs="Times New Roman"/>
                <w:sz w:val="20"/>
                <w:szCs w:val="20"/>
              </w:rPr>
            </w:pPr>
            <w:r w:rsidRPr="00536E9A">
              <w:rPr>
                <w:rFonts w:ascii="Times New Roman" w:hAnsi="Times New Roman" w:cs="Times New Roman"/>
                <w:b/>
                <w:sz w:val="20"/>
                <w:szCs w:val="20"/>
              </w:rPr>
              <w:t>Opći prihodi</w:t>
            </w:r>
            <w:r w:rsidRPr="00536E9A">
              <w:rPr>
                <w:rFonts w:ascii="Times New Roman" w:hAnsi="Times New Roman" w:cs="Times New Roman"/>
                <w:sz w:val="20"/>
                <w:szCs w:val="20"/>
              </w:rPr>
              <w:t xml:space="preserve"> (Državni proračun za plaće i materijalne troškove, programski ugovori</w:t>
            </w:r>
            <w:r w:rsidR="00B83A98" w:rsidRPr="00536E9A">
              <w:rPr>
                <w:rFonts w:ascii="Times New Roman" w:hAnsi="Times New Roman" w:cs="Times New Roman"/>
                <w:sz w:val="20"/>
                <w:szCs w:val="20"/>
              </w:rPr>
              <w:t>, refundacije pravomoćnih sudskih presuda</w:t>
            </w:r>
            <w:r w:rsidRPr="00536E9A">
              <w:rPr>
                <w:rFonts w:ascii="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3.779.974</w:t>
            </w:r>
          </w:p>
        </w:tc>
        <w:tc>
          <w:tcPr>
            <w:tcW w:w="1417"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3.760.958</w:t>
            </w:r>
          </w:p>
        </w:tc>
        <w:tc>
          <w:tcPr>
            <w:tcW w:w="1276"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i/>
                <w:sz w:val="20"/>
                <w:szCs w:val="20"/>
              </w:rPr>
            </w:pPr>
            <w:r w:rsidRPr="00536E9A">
              <w:rPr>
                <w:rFonts w:ascii="Times New Roman" w:hAnsi="Times New Roman" w:cs="Times New Roman"/>
                <w:bCs/>
                <w:i/>
                <w:sz w:val="20"/>
                <w:szCs w:val="20"/>
              </w:rPr>
              <w:t>19.016</w:t>
            </w:r>
          </w:p>
        </w:tc>
      </w:tr>
      <w:tr w:rsidR="00843880" w:rsidRPr="00843880" w:rsidTr="00843880">
        <w:trPr>
          <w:trHeight w:val="58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843880" w:rsidRPr="00536E9A" w:rsidRDefault="00843880" w:rsidP="00843880">
            <w:pPr>
              <w:spacing w:line="240" w:lineRule="auto"/>
              <w:jc w:val="both"/>
              <w:rPr>
                <w:rFonts w:ascii="Times New Roman" w:hAnsi="Times New Roman" w:cs="Times New Roman"/>
                <w:sz w:val="20"/>
                <w:szCs w:val="20"/>
              </w:rPr>
            </w:pPr>
            <w:r w:rsidRPr="00536E9A">
              <w:rPr>
                <w:rFonts w:ascii="Times New Roman" w:hAnsi="Times New Roman" w:cs="Times New Roman"/>
                <w:b/>
                <w:sz w:val="20"/>
                <w:szCs w:val="20"/>
              </w:rPr>
              <w:t>Nacionalno sufinanciranje</w:t>
            </w:r>
            <w:r w:rsidRPr="00536E9A">
              <w:rPr>
                <w:rFonts w:ascii="Times New Roman" w:hAnsi="Times New Roman" w:cs="Times New Roman"/>
                <w:sz w:val="20"/>
                <w:szCs w:val="20"/>
              </w:rPr>
              <w:t xml:space="preserve"> (15% nacionalnog sufinanciranja za HKO projekt Pandora)</w:t>
            </w:r>
          </w:p>
        </w:tc>
        <w:tc>
          <w:tcPr>
            <w:tcW w:w="1559"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19.147</w:t>
            </w:r>
          </w:p>
        </w:tc>
        <w:tc>
          <w:tcPr>
            <w:tcW w:w="1417"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14.244</w:t>
            </w:r>
          </w:p>
        </w:tc>
        <w:tc>
          <w:tcPr>
            <w:tcW w:w="1276"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i/>
                <w:sz w:val="20"/>
                <w:szCs w:val="20"/>
              </w:rPr>
            </w:pPr>
            <w:r w:rsidRPr="00536E9A">
              <w:rPr>
                <w:rFonts w:ascii="Times New Roman" w:hAnsi="Times New Roman" w:cs="Times New Roman"/>
                <w:bCs/>
                <w:i/>
                <w:sz w:val="20"/>
                <w:szCs w:val="20"/>
              </w:rPr>
              <w:t>4.902</w:t>
            </w:r>
          </w:p>
        </w:tc>
      </w:tr>
      <w:tr w:rsidR="00843880" w:rsidRPr="00843880" w:rsidTr="00843880">
        <w:trPr>
          <w:trHeight w:val="3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843880" w:rsidRPr="00536E9A" w:rsidRDefault="00843880" w:rsidP="00843880">
            <w:pPr>
              <w:spacing w:line="240" w:lineRule="auto"/>
              <w:jc w:val="both"/>
              <w:rPr>
                <w:rFonts w:ascii="Times New Roman" w:hAnsi="Times New Roman" w:cs="Times New Roman"/>
                <w:sz w:val="20"/>
                <w:szCs w:val="20"/>
              </w:rPr>
            </w:pPr>
            <w:r w:rsidRPr="00536E9A">
              <w:rPr>
                <w:rFonts w:ascii="Times New Roman" w:hAnsi="Times New Roman" w:cs="Times New Roman"/>
                <w:b/>
                <w:sz w:val="20"/>
                <w:szCs w:val="20"/>
              </w:rPr>
              <w:t>Vlastiti prihodi</w:t>
            </w:r>
            <w:r w:rsidRPr="00536E9A">
              <w:rPr>
                <w:rFonts w:ascii="Times New Roman" w:hAnsi="Times New Roman" w:cs="Times New Roman"/>
                <w:sz w:val="20"/>
                <w:szCs w:val="20"/>
              </w:rPr>
              <w:t xml:space="preserve"> (svi vlastiti prihodi ostvareni na tržištu)</w:t>
            </w:r>
          </w:p>
        </w:tc>
        <w:tc>
          <w:tcPr>
            <w:tcW w:w="1559"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886.450</w:t>
            </w:r>
          </w:p>
        </w:tc>
        <w:tc>
          <w:tcPr>
            <w:tcW w:w="1417"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827.562</w:t>
            </w:r>
          </w:p>
        </w:tc>
        <w:tc>
          <w:tcPr>
            <w:tcW w:w="1276"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i/>
                <w:sz w:val="20"/>
                <w:szCs w:val="20"/>
              </w:rPr>
            </w:pPr>
            <w:r w:rsidRPr="00536E9A">
              <w:rPr>
                <w:rFonts w:ascii="Times New Roman" w:hAnsi="Times New Roman" w:cs="Times New Roman"/>
                <w:bCs/>
                <w:i/>
                <w:sz w:val="20"/>
                <w:szCs w:val="20"/>
              </w:rPr>
              <w:t>58.888</w:t>
            </w:r>
          </w:p>
        </w:tc>
      </w:tr>
      <w:tr w:rsidR="00843880" w:rsidRPr="00843880" w:rsidTr="00843880">
        <w:trPr>
          <w:trHeight w:val="58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843880" w:rsidRPr="00536E9A" w:rsidRDefault="00843880" w:rsidP="00843880">
            <w:pPr>
              <w:spacing w:line="240" w:lineRule="auto"/>
              <w:jc w:val="both"/>
              <w:rPr>
                <w:rFonts w:ascii="Times New Roman" w:hAnsi="Times New Roman" w:cs="Times New Roman"/>
                <w:sz w:val="20"/>
                <w:szCs w:val="20"/>
              </w:rPr>
            </w:pPr>
            <w:r w:rsidRPr="00536E9A">
              <w:rPr>
                <w:rFonts w:ascii="Times New Roman" w:hAnsi="Times New Roman" w:cs="Times New Roman"/>
                <w:b/>
                <w:sz w:val="20"/>
                <w:szCs w:val="20"/>
              </w:rPr>
              <w:t>Prihodi za posebne namjene</w:t>
            </w:r>
            <w:r w:rsidRPr="00536E9A">
              <w:rPr>
                <w:rFonts w:ascii="Times New Roman" w:hAnsi="Times New Roman" w:cs="Times New Roman"/>
                <w:sz w:val="20"/>
                <w:szCs w:val="20"/>
              </w:rPr>
              <w:t xml:space="preserve"> (školarine i s njima povezani prihodi)</w:t>
            </w:r>
          </w:p>
        </w:tc>
        <w:tc>
          <w:tcPr>
            <w:tcW w:w="1559"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681.478</w:t>
            </w:r>
          </w:p>
        </w:tc>
        <w:tc>
          <w:tcPr>
            <w:tcW w:w="1417"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743.682</w:t>
            </w:r>
          </w:p>
        </w:tc>
        <w:tc>
          <w:tcPr>
            <w:tcW w:w="1276"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i/>
                <w:sz w:val="20"/>
                <w:szCs w:val="20"/>
              </w:rPr>
            </w:pPr>
            <w:r w:rsidRPr="00536E9A">
              <w:rPr>
                <w:rFonts w:ascii="Times New Roman" w:hAnsi="Times New Roman" w:cs="Times New Roman"/>
                <w:bCs/>
                <w:i/>
                <w:sz w:val="20"/>
                <w:szCs w:val="20"/>
              </w:rPr>
              <w:t>-62.204</w:t>
            </w:r>
          </w:p>
        </w:tc>
      </w:tr>
      <w:tr w:rsidR="00843880" w:rsidRPr="00843880" w:rsidTr="00843880">
        <w:trPr>
          <w:trHeight w:val="3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843880" w:rsidRPr="00536E9A" w:rsidRDefault="00843880" w:rsidP="00843880">
            <w:pPr>
              <w:spacing w:line="240" w:lineRule="auto"/>
              <w:jc w:val="both"/>
              <w:rPr>
                <w:rFonts w:ascii="Times New Roman" w:hAnsi="Times New Roman" w:cs="Times New Roman"/>
                <w:sz w:val="20"/>
                <w:szCs w:val="20"/>
              </w:rPr>
            </w:pPr>
            <w:r w:rsidRPr="00536E9A">
              <w:rPr>
                <w:rFonts w:ascii="Times New Roman" w:hAnsi="Times New Roman" w:cs="Times New Roman"/>
                <w:b/>
                <w:sz w:val="20"/>
                <w:szCs w:val="20"/>
              </w:rPr>
              <w:t>Pomoći iz EU</w:t>
            </w:r>
            <w:r w:rsidRPr="00536E9A">
              <w:rPr>
                <w:rFonts w:ascii="Times New Roman" w:hAnsi="Times New Roman" w:cs="Times New Roman"/>
                <w:sz w:val="20"/>
                <w:szCs w:val="20"/>
              </w:rPr>
              <w:t xml:space="preserve"> (svi EU projekti Erasmus, Interreg i Horizon)</w:t>
            </w:r>
          </w:p>
        </w:tc>
        <w:tc>
          <w:tcPr>
            <w:tcW w:w="1559"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560.681</w:t>
            </w:r>
          </w:p>
        </w:tc>
        <w:tc>
          <w:tcPr>
            <w:tcW w:w="1417"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615.630</w:t>
            </w:r>
          </w:p>
        </w:tc>
        <w:tc>
          <w:tcPr>
            <w:tcW w:w="1276"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i/>
                <w:sz w:val="20"/>
                <w:szCs w:val="20"/>
              </w:rPr>
            </w:pPr>
            <w:r w:rsidRPr="00536E9A">
              <w:rPr>
                <w:rFonts w:ascii="Times New Roman" w:hAnsi="Times New Roman" w:cs="Times New Roman"/>
                <w:bCs/>
                <w:i/>
                <w:sz w:val="20"/>
                <w:szCs w:val="20"/>
              </w:rPr>
              <w:t>-54.949</w:t>
            </w:r>
          </w:p>
        </w:tc>
      </w:tr>
      <w:tr w:rsidR="00843880" w:rsidRPr="00843880" w:rsidTr="00843880">
        <w:trPr>
          <w:trHeight w:val="64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843880" w:rsidRPr="00536E9A" w:rsidRDefault="00843880" w:rsidP="00843880">
            <w:pPr>
              <w:spacing w:line="240" w:lineRule="auto"/>
              <w:jc w:val="both"/>
              <w:rPr>
                <w:rFonts w:ascii="Times New Roman" w:hAnsi="Times New Roman" w:cs="Times New Roman"/>
                <w:sz w:val="20"/>
                <w:szCs w:val="20"/>
              </w:rPr>
            </w:pPr>
            <w:r w:rsidRPr="00536E9A">
              <w:rPr>
                <w:rFonts w:ascii="Times New Roman" w:hAnsi="Times New Roman" w:cs="Times New Roman"/>
                <w:b/>
                <w:sz w:val="20"/>
                <w:szCs w:val="20"/>
              </w:rPr>
              <w:t>Ostale pomoći i darovnice</w:t>
            </w:r>
            <w:r w:rsidRPr="00536E9A">
              <w:rPr>
                <w:rFonts w:ascii="Times New Roman" w:hAnsi="Times New Roman" w:cs="Times New Roman"/>
                <w:sz w:val="20"/>
                <w:szCs w:val="20"/>
              </w:rPr>
              <w:t xml:space="preserve"> (Sredstva Sveučilišta za razne projekte, IAMU </w:t>
            </w:r>
            <w:r w:rsidR="00B83A98" w:rsidRPr="00536E9A">
              <w:rPr>
                <w:rFonts w:ascii="Times New Roman" w:hAnsi="Times New Roman" w:cs="Times New Roman"/>
                <w:sz w:val="20"/>
                <w:szCs w:val="20"/>
              </w:rPr>
              <w:t>putni troškovi</w:t>
            </w:r>
            <w:r w:rsidRPr="00536E9A">
              <w:rPr>
                <w:rFonts w:ascii="Times New Roman" w:hAnsi="Times New Roman" w:cs="Times New Roman"/>
                <w:sz w:val="20"/>
                <w:szCs w:val="20"/>
              </w:rPr>
              <w:t xml:space="preserve">, </w:t>
            </w:r>
            <w:r w:rsidR="00B83A98" w:rsidRPr="00536E9A">
              <w:rPr>
                <w:rFonts w:ascii="Times New Roman" w:hAnsi="Times New Roman" w:cs="Times New Roman"/>
                <w:sz w:val="20"/>
                <w:szCs w:val="20"/>
              </w:rPr>
              <w:t>FER za projekt MASK</w:t>
            </w:r>
            <w:r w:rsidRPr="00536E9A">
              <w:rPr>
                <w:rFonts w:ascii="Times New Roman" w:hAnsi="Times New Roman" w:cs="Times New Roman"/>
                <w:sz w:val="20"/>
                <w:szCs w:val="20"/>
              </w:rPr>
              <w:t>, MMPI za Eureku, refundacije HRZZ projekta)</w:t>
            </w:r>
          </w:p>
        </w:tc>
        <w:tc>
          <w:tcPr>
            <w:tcW w:w="1559"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97.748</w:t>
            </w:r>
          </w:p>
        </w:tc>
        <w:tc>
          <w:tcPr>
            <w:tcW w:w="1417"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179.978</w:t>
            </w:r>
          </w:p>
        </w:tc>
        <w:tc>
          <w:tcPr>
            <w:tcW w:w="1276"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i/>
                <w:sz w:val="20"/>
                <w:szCs w:val="20"/>
              </w:rPr>
            </w:pPr>
            <w:r w:rsidRPr="00536E9A">
              <w:rPr>
                <w:rFonts w:ascii="Times New Roman" w:hAnsi="Times New Roman" w:cs="Times New Roman"/>
                <w:bCs/>
                <w:i/>
                <w:sz w:val="20"/>
                <w:szCs w:val="20"/>
              </w:rPr>
              <w:t>-82.129</w:t>
            </w:r>
          </w:p>
        </w:tc>
      </w:tr>
      <w:tr w:rsidR="00843880" w:rsidRPr="00885BCD" w:rsidTr="00843880">
        <w:trPr>
          <w:trHeight w:val="58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843880" w:rsidRPr="00885BCD" w:rsidRDefault="00843880" w:rsidP="00843880">
            <w:pPr>
              <w:spacing w:line="240" w:lineRule="auto"/>
              <w:jc w:val="both"/>
              <w:rPr>
                <w:rFonts w:ascii="Times New Roman" w:hAnsi="Times New Roman" w:cs="Times New Roman"/>
                <w:sz w:val="20"/>
                <w:szCs w:val="20"/>
              </w:rPr>
            </w:pPr>
            <w:r w:rsidRPr="00885BCD">
              <w:rPr>
                <w:rFonts w:ascii="Times New Roman" w:hAnsi="Times New Roman" w:cs="Times New Roman"/>
                <w:b/>
                <w:sz w:val="20"/>
                <w:szCs w:val="20"/>
              </w:rPr>
              <w:t>Pomoći iz ESF</w:t>
            </w:r>
            <w:r w:rsidRPr="00885BCD">
              <w:rPr>
                <w:rFonts w:ascii="Times New Roman" w:hAnsi="Times New Roman" w:cs="Times New Roman"/>
                <w:sz w:val="20"/>
                <w:szCs w:val="20"/>
              </w:rPr>
              <w:t xml:space="preserve"> (85% nacionalnog sufinanciranja za HKO projekt Pandora)</w:t>
            </w:r>
          </w:p>
        </w:tc>
        <w:tc>
          <w:tcPr>
            <w:tcW w:w="1559" w:type="dxa"/>
            <w:tcBorders>
              <w:top w:val="nil"/>
              <w:left w:val="nil"/>
              <w:bottom w:val="single" w:sz="4" w:space="0" w:color="auto"/>
              <w:right w:val="single" w:sz="4" w:space="0" w:color="auto"/>
            </w:tcBorders>
            <w:shd w:val="clear" w:color="000000" w:fill="FFFFFF"/>
            <w:noWrap/>
            <w:vAlign w:val="center"/>
          </w:tcPr>
          <w:p w:rsidR="00843880" w:rsidRPr="00885BCD" w:rsidRDefault="00B83A98" w:rsidP="00B83A98">
            <w:pPr>
              <w:spacing w:line="240" w:lineRule="auto"/>
              <w:jc w:val="right"/>
              <w:rPr>
                <w:rFonts w:ascii="Times New Roman" w:hAnsi="Times New Roman" w:cs="Times New Roman"/>
                <w:bCs/>
                <w:sz w:val="20"/>
                <w:szCs w:val="20"/>
              </w:rPr>
            </w:pPr>
            <w:r w:rsidRPr="00885BCD">
              <w:rPr>
                <w:rFonts w:ascii="Times New Roman" w:hAnsi="Times New Roman" w:cs="Times New Roman"/>
                <w:bCs/>
                <w:sz w:val="20"/>
                <w:szCs w:val="20"/>
              </w:rPr>
              <w:t>108.497</w:t>
            </w:r>
          </w:p>
        </w:tc>
        <w:tc>
          <w:tcPr>
            <w:tcW w:w="1417" w:type="dxa"/>
            <w:tcBorders>
              <w:top w:val="nil"/>
              <w:left w:val="nil"/>
              <w:bottom w:val="single" w:sz="4" w:space="0" w:color="auto"/>
              <w:right w:val="single" w:sz="4" w:space="0" w:color="auto"/>
            </w:tcBorders>
            <w:shd w:val="clear" w:color="000000" w:fill="FFFFFF"/>
            <w:noWrap/>
            <w:vAlign w:val="center"/>
          </w:tcPr>
          <w:p w:rsidR="00843880" w:rsidRPr="00885BCD" w:rsidRDefault="00B83A98" w:rsidP="00B83A98">
            <w:pPr>
              <w:spacing w:line="240" w:lineRule="auto"/>
              <w:jc w:val="right"/>
              <w:rPr>
                <w:rFonts w:ascii="Times New Roman" w:hAnsi="Times New Roman" w:cs="Times New Roman"/>
                <w:bCs/>
                <w:sz w:val="20"/>
                <w:szCs w:val="20"/>
              </w:rPr>
            </w:pPr>
            <w:r w:rsidRPr="00885BCD">
              <w:rPr>
                <w:rFonts w:ascii="Times New Roman" w:hAnsi="Times New Roman" w:cs="Times New Roman"/>
                <w:bCs/>
                <w:sz w:val="20"/>
                <w:szCs w:val="20"/>
              </w:rPr>
              <w:t>80.718</w:t>
            </w:r>
          </w:p>
        </w:tc>
        <w:tc>
          <w:tcPr>
            <w:tcW w:w="1276" w:type="dxa"/>
            <w:tcBorders>
              <w:top w:val="nil"/>
              <w:left w:val="nil"/>
              <w:bottom w:val="single" w:sz="4" w:space="0" w:color="auto"/>
              <w:right w:val="single" w:sz="4" w:space="0" w:color="auto"/>
            </w:tcBorders>
            <w:shd w:val="clear" w:color="000000" w:fill="FFFFFF"/>
            <w:noWrap/>
            <w:vAlign w:val="center"/>
          </w:tcPr>
          <w:p w:rsidR="00843880" w:rsidRPr="00885BCD" w:rsidRDefault="00B83A98" w:rsidP="00B83A98">
            <w:pPr>
              <w:spacing w:line="240" w:lineRule="auto"/>
              <w:jc w:val="right"/>
              <w:rPr>
                <w:rFonts w:ascii="Times New Roman" w:hAnsi="Times New Roman" w:cs="Times New Roman"/>
                <w:bCs/>
                <w:i/>
                <w:sz w:val="20"/>
                <w:szCs w:val="20"/>
              </w:rPr>
            </w:pPr>
            <w:r w:rsidRPr="00885BCD">
              <w:rPr>
                <w:rFonts w:ascii="Times New Roman" w:hAnsi="Times New Roman" w:cs="Times New Roman"/>
                <w:bCs/>
                <w:i/>
                <w:sz w:val="20"/>
                <w:szCs w:val="20"/>
              </w:rPr>
              <w:t>27.779</w:t>
            </w:r>
          </w:p>
        </w:tc>
      </w:tr>
      <w:tr w:rsidR="00843880" w:rsidRPr="00843880" w:rsidTr="00843880">
        <w:trPr>
          <w:trHeight w:val="58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843880" w:rsidRPr="00536E9A" w:rsidRDefault="00843880" w:rsidP="00843880">
            <w:pPr>
              <w:spacing w:line="240" w:lineRule="auto"/>
              <w:jc w:val="both"/>
              <w:rPr>
                <w:rFonts w:ascii="Times New Roman" w:hAnsi="Times New Roman" w:cs="Times New Roman"/>
                <w:sz w:val="20"/>
                <w:szCs w:val="20"/>
              </w:rPr>
            </w:pPr>
            <w:r w:rsidRPr="00536E9A">
              <w:rPr>
                <w:rFonts w:ascii="Times New Roman" w:hAnsi="Times New Roman" w:cs="Times New Roman"/>
                <w:b/>
                <w:sz w:val="20"/>
                <w:szCs w:val="20"/>
              </w:rPr>
              <w:t>Donacije</w:t>
            </w:r>
            <w:r w:rsidRPr="00536E9A">
              <w:rPr>
                <w:rFonts w:ascii="Times New Roman" w:hAnsi="Times New Roman" w:cs="Times New Roman"/>
                <w:sz w:val="20"/>
                <w:szCs w:val="20"/>
              </w:rPr>
              <w:t xml:space="preserve"> (donacije trgovačkih društava i sredstva za projekt CEKOM)</w:t>
            </w:r>
          </w:p>
        </w:tc>
        <w:tc>
          <w:tcPr>
            <w:tcW w:w="1559"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63.126</w:t>
            </w:r>
          </w:p>
        </w:tc>
        <w:tc>
          <w:tcPr>
            <w:tcW w:w="1417"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18.608</w:t>
            </w:r>
          </w:p>
        </w:tc>
        <w:tc>
          <w:tcPr>
            <w:tcW w:w="1276"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i/>
                <w:sz w:val="20"/>
                <w:szCs w:val="20"/>
              </w:rPr>
            </w:pPr>
            <w:r w:rsidRPr="00536E9A">
              <w:rPr>
                <w:rFonts w:ascii="Times New Roman" w:hAnsi="Times New Roman" w:cs="Times New Roman"/>
                <w:bCs/>
                <w:i/>
                <w:sz w:val="20"/>
                <w:szCs w:val="20"/>
              </w:rPr>
              <w:t>44.518</w:t>
            </w:r>
          </w:p>
        </w:tc>
      </w:tr>
      <w:tr w:rsidR="00843880" w:rsidRPr="00843880" w:rsidTr="00843880">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843880" w:rsidRPr="00536E9A" w:rsidRDefault="00843880" w:rsidP="00843880">
            <w:pPr>
              <w:spacing w:line="240" w:lineRule="auto"/>
              <w:jc w:val="both"/>
              <w:rPr>
                <w:rFonts w:ascii="Times New Roman" w:hAnsi="Times New Roman" w:cs="Times New Roman"/>
                <w:b/>
                <w:sz w:val="20"/>
                <w:szCs w:val="20"/>
              </w:rPr>
            </w:pPr>
            <w:r w:rsidRPr="00536E9A">
              <w:rPr>
                <w:rFonts w:ascii="Times New Roman" w:hAnsi="Times New Roman" w:cs="Times New Roman"/>
                <w:b/>
                <w:sz w:val="20"/>
                <w:szCs w:val="20"/>
              </w:rPr>
              <w:lastRenderedPageBreak/>
              <w:t xml:space="preserve">Prihodi od prodaje nefinancijske imovine </w:t>
            </w:r>
            <w:r w:rsidRPr="00536E9A">
              <w:rPr>
                <w:rFonts w:ascii="Times New Roman" w:hAnsi="Times New Roman" w:cs="Times New Roman"/>
                <w:bCs/>
                <w:sz w:val="20"/>
                <w:szCs w:val="20"/>
              </w:rPr>
              <w:t>(prihodi od prodaje stanova)</w:t>
            </w:r>
          </w:p>
        </w:tc>
        <w:tc>
          <w:tcPr>
            <w:tcW w:w="1559"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549</w:t>
            </w:r>
          </w:p>
        </w:tc>
        <w:tc>
          <w:tcPr>
            <w:tcW w:w="1417"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549</w:t>
            </w:r>
          </w:p>
        </w:tc>
        <w:tc>
          <w:tcPr>
            <w:tcW w:w="1276" w:type="dxa"/>
            <w:tcBorders>
              <w:top w:val="nil"/>
              <w:left w:val="nil"/>
              <w:bottom w:val="single" w:sz="4" w:space="0" w:color="auto"/>
              <w:right w:val="single" w:sz="4" w:space="0" w:color="auto"/>
            </w:tcBorders>
            <w:shd w:val="clear" w:color="000000" w:fill="FFFFFF"/>
            <w:noWrap/>
            <w:vAlign w:val="center"/>
          </w:tcPr>
          <w:p w:rsidR="00843880" w:rsidRPr="00536E9A" w:rsidRDefault="00B83A98" w:rsidP="00B83A98">
            <w:pPr>
              <w:spacing w:line="240" w:lineRule="auto"/>
              <w:jc w:val="right"/>
              <w:rPr>
                <w:rFonts w:ascii="Times New Roman" w:hAnsi="Times New Roman" w:cs="Times New Roman"/>
                <w:bCs/>
                <w:i/>
                <w:sz w:val="20"/>
                <w:szCs w:val="20"/>
              </w:rPr>
            </w:pPr>
            <w:r w:rsidRPr="00536E9A">
              <w:rPr>
                <w:rFonts w:ascii="Times New Roman" w:hAnsi="Times New Roman" w:cs="Times New Roman"/>
                <w:bCs/>
                <w:i/>
                <w:sz w:val="20"/>
                <w:szCs w:val="20"/>
              </w:rPr>
              <w:t>0</w:t>
            </w:r>
          </w:p>
        </w:tc>
      </w:tr>
      <w:tr w:rsidR="00843880" w:rsidRPr="00843880" w:rsidTr="00843880">
        <w:trPr>
          <w:trHeight w:val="300"/>
        </w:trPr>
        <w:tc>
          <w:tcPr>
            <w:tcW w:w="4820" w:type="dxa"/>
            <w:tcBorders>
              <w:top w:val="nil"/>
              <w:left w:val="single" w:sz="4" w:space="0" w:color="auto"/>
              <w:bottom w:val="single" w:sz="4" w:space="0" w:color="auto"/>
              <w:right w:val="single" w:sz="4" w:space="0" w:color="auto"/>
            </w:tcBorders>
            <w:shd w:val="clear" w:color="auto" w:fill="FFFFCC"/>
            <w:vAlign w:val="bottom"/>
            <w:hideMark/>
          </w:tcPr>
          <w:p w:rsidR="00843880" w:rsidRPr="00536E9A" w:rsidRDefault="00843880" w:rsidP="00843880">
            <w:pPr>
              <w:spacing w:line="240" w:lineRule="auto"/>
              <w:jc w:val="both"/>
              <w:rPr>
                <w:rFonts w:ascii="Times New Roman" w:hAnsi="Times New Roman" w:cs="Times New Roman"/>
                <w:b/>
                <w:bCs/>
                <w:sz w:val="20"/>
                <w:szCs w:val="20"/>
              </w:rPr>
            </w:pPr>
            <w:r w:rsidRPr="00536E9A">
              <w:rPr>
                <w:rFonts w:ascii="Times New Roman" w:hAnsi="Times New Roman" w:cs="Times New Roman"/>
                <w:b/>
                <w:bCs/>
                <w:sz w:val="20"/>
                <w:szCs w:val="20"/>
              </w:rPr>
              <w:t>UKUPNO:</w:t>
            </w:r>
          </w:p>
        </w:tc>
        <w:tc>
          <w:tcPr>
            <w:tcW w:w="1559" w:type="dxa"/>
            <w:tcBorders>
              <w:top w:val="nil"/>
              <w:left w:val="nil"/>
              <w:bottom w:val="single" w:sz="4" w:space="0" w:color="auto"/>
              <w:right w:val="single" w:sz="4" w:space="0" w:color="auto"/>
            </w:tcBorders>
            <w:shd w:val="clear" w:color="auto" w:fill="FFFFCC"/>
            <w:noWrap/>
            <w:vAlign w:val="center"/>
          </w:tcPr>
          <w:p w:rsidR="00843880" w:rsidRPr="00536E9A" w:rsidRDefault="00B83A98" w:rsidP="00843880">
            <w:pPr>
              <w:spacing w:line="240" w:lineRule="auto"/>
              <w:jc w:val="both"/>
              <w:rPr>
                <w:rFonts w:ascii="Times New Roman" w:hAnsi="Times New Roman" w:cs="Times New Roman"/>
                <w:b/>
                <w:bCs/>
                <w:sz w:val="20"/>
                <w:szCs w:val="20"/>
              </w:rPr>
            </w:pPr>
            <w:r w:rsidRPr="00536E9A">
              <w:rPr>
                <w:rFonts w:ascii="Times New Roman" w:hAnsi="Times New Roman" w:cs="Times New Roman"/>
                <w:b/>
                <w:bCs/>
                <w:sz w:val="20"/>
                <w:szCs w:val="20"/>
              </w:rPr>
              <w:t>6.197.648,92</w:t>
            </w:r>
          </w:p>
        </w:tc>
        <w:tc>
          <w:tcPr>
            <w:tcW w:w="1417" w:type="dxa"/>
            <w:tcBorders>
              <w:top w:val="nil"/>
              <w:left w:val="nil"/>
              <w:bottom w:val="single" w:sz="4" w:space="0" w:color="auto"/>
              <w:right w:val="single" w:sz="4" w:space="0" w:color="auto"/>
            </w:tcBorders>
            <w:shd w:val="clear" w:color="auto" w:fill="FFFFCC"/>
            <w:noWrap/>
            <w:vAlign w:val="center"/>
          </w:tcPr>
          <w:p w:rsidR="00843880" w:rsidRPr="00536E9A" w:rsidRDefault="00B83A98" w:rsidP="00843880">
            <w:pPr>
              <w:spacing w:line="240" w:lineRule="auto"/>
              <w:jc w:val="both"/>
              <w:rPr>
                <w:rFonts w:ascii="Times New Roman" w:hAnsi="Times New Roman" w:cs="Times New Roman"/>
                <w:b/>
                <w:bCs/>
                <w:sz w:val="20"/>
                <w:szCs w:val="20"/>
              </w:rPr>
            </w:pPr>
            <w:r w:rsidRPr="00536E9A">
              <w:rPr>
                <w:rFonts w:ascii="Times New Roman" w:hAnsi="Times New Roman" w:cs="Times New Roman"/>
                <w:b/>
                <w:bCs/>
                <w:sz w:val="20"/>
                <w:szCs w:val="20"/>
              </w:rPr>
              <w:t>6.241.828,54</w:t>
            </w:r>
          </w:p>
        </w:tc>
        <w:tc>
          <w:tcPr>
            <w:tcW w:w="1276" w:type="dxa"/>
            <w:tcBorders>
              <w:top w:val="nil"/>
              <w:left w:val="nil"/>
              <w:bottom w:val="single" w:sz="4" w:space="0" w:color="auto"/>
              <w:right w:val="single" w:sz="4" w:space="0" w:color="auto"/>
            </w:tcBorders>
            <w:shd w:val="clear" w:color="auto" w:fill="FFFFCC"/>
            <w:noWrap/>
            <w:vAlign w:val="center"/>
          </w:tcPr>
          <w:p w:rsidR="00843880" w:rsidRPr="00536E9A" w:rsidRDefault="00B83A98" w:rsidP="00843880">
            <w:pPr>
              <w:spacing w:line="240" w:lineRule="auto"/>
              <w:jc w:val="both"/>
              <w:rPr>
                <w:rFonts w:ascii="Times New Roman" w:hAnsi="Times New Roman" w:cs="Times New Roman"/>
                <w:b/>
                <w:bCs/>
                <w:i/>
                <w:sz w:val="20"/>
                <w:szCs w:val="20"/>
              </w:rPr>
            </w:pPr>
            <w:r w:rsidRPr="00536E9A">
              <w:rPr>
                <w:rFonts w:ascii="Times New Roman" w:hAnsi="Times New Roman" w:cs="Times New Roman"/>
                <w:b/>
                <w:bCs/>
                <w:i/>
                <w:sz w:val="20"/>
                <w:szCs w:val="20"/>
              </w:rPr>
              <w:t>-44.179,62</w:t>
            </w:r>
          </w:p>
        </w:tc>
      </w:tr>
    </w:tbl>
    <w:p w:rsidR="00843880" w:rsidRPr="00843880" w:rsidRDefault="00843880" w:rsidP="00843880">
      <w:pPr>
        <w:spacing w:line="240" w:lineRule="auto"/>
        <w:jc w:val="both"/>
        <w:rPr>
          <w:rFonts w:ascii="Times New Roman" w:hAnsi="Times New Roman" w:cs="Times New Roman"/>
          <w:b/>
          <w:sz w:val="24"/>
          <w:szCs w:val="24"/>
        </w:rPr>
      </w:pPr>
      <w:r w:rsidRPr="00843880">
        <w:rPr>
          <w:rFonts w:ascii="Times New Roman" w:hAnsi="Times New Roman" w:cs="Times New Roman"/>
          <w:sz w:val="24"/>
          <w:szCs w:val="24"/>
        </w:rPr>
        <w:t xml:space="preserve">Ukupan manjak prihoda, odnosno manjak prihoda po kategorijama, </w:t>
      </w:r>
      <w:r w:rsidRPr="00843880">
        <w:rPr>
          <w:rFonts w:ascii="Times New Roman" w:hAnsi="Times New Roman" w:cs="Times New Roman"/>
          <w:b/>
          <w:sz w:val="24"/>
          <w:szCs w:val="24"/>
        </w:rPr>
        <w:t xml:space="preserve">pokriven je iz </w:t>
      </w:r>
      <w:r w:rsidR="00885BCD">
        <w:rPr>
          <w:rFonts w:ascii="Times New Roman" w:hAnsi="Times New Roman" w:cs="Times New Roman"/>
          <w:b/>
          <w:sz w:val="24"/>
          <w:szCs w:val="24"/>
        </w:rPr>
        <w:t>donosa po izvorima financiranja.</w:t>
      </w:r>
      <w:r w:rsidRPr="00843880">
        <w:rPr>
          <w:rFonts w:ascii="Times New Roman" w:hAnsi="Times New Roman" w:cs="Times New Roman"/>
          <w:b/>
          <w:sz w:val="24"/>
          <w:szCs w:val="24"/>
        </w:rPr>
        <w:t xml:space="preserve"> </w:t>
      </w:r>
    </w:p>
    <w:p w:rsidR="00843880" w:rsidRDefault="00843880" w:rsidP="00843880">
      <w:pPr>
        <w:spacing w:line="240" w:lineRule="auto"/>
        <w:jc w:val="both"/>
        <w:rPr>
          <w:rFonts w:ascii="Times New Roman" w:hAnsi="Times New Roman" w:cs="Times New Roman"/>
          <w:b/>
          <w:sz w:val="24"/>
          <w:szCs w:val="24"/>
        </w:rPr>
      </w:pPr>
      <w:r w:rsidRPr="00843880">
        <w:rPr>
          <w:rFonts w:ascii="Times New Roman" w:hAnsi="Times New Roman" w:cs="Times New Roman"/>
          <w:sz w:val="24"/>
          <w:szCs w:val="24"/>
        </w:rPr>
        <w:t>Detaljan pregled</w:t>
      </w:r>
      <w:r w:rsidR="00B83A98">
        <w:rPr>
          <w:rFonts w:ascii="Times New Roman" w:hAnsi="Times New Roman" w:cs="Times New Roman"/>
          <w:sz w:val="24"/>
          <w:szCs w:val="24"/>
        </w:rPr>
        <w:t xml:space="preserve"> </w:t>
      </w:r>
      <w:r w:rsidRPr="00843880">
        <w:rPr>
          <w:rFonts w:ascii="Times New Roman" w:hAnsi="Times New Roman" w:cs="Times New Roman"/>
          <w:sz w:val="24"/>
          <w:szCs w:val="24"/>
        </w:rPr>
        <w:t xml:space="preserve">izvršenja rashoda po ekonomskoj klasifikaciji, izvorima financiranja, programima i aktivnostima iskazan je u </w:t>
      </w:r>
      <w:r w:rsidR="007A75B3" w:rsidRPr="007A75B3">
        <w:rPr>
          <w:rFonts w:ascii="Times New Roman" w:hAnsi="Times New Roman" w:cs="Times New Roman"/>
          <w:b/>
          <w:sz w:val="24"/>
          <w:szCs w:val="24"/>
        </w:rPr>
        <w:t>Posebnom dijelu</w:t>
      </w:r>
      <w:r w:rsidR="007A75B3">
        <w:rPr>
          <w:rFonts w:ascii="Times New Roman" w:hAnsi="Times New Roman" w:cs="Times New Roman"/>
          <w:sz w:val="24"/>
          <w:szCs w:val="24"/>
        </w:rPr>
        <w:t xml:space="preserve"> i</w:t>
      </w:r>
      <w:r w:rsidRPr="00843880">
        <w:rPr>
          <w:rFonts w:ascii="Times New Roman" w:hAnsi="Times New Roman" w:cs="Times New Roman"/>
          <w:b/>
          <w:sz w:val="24"/>
          <w:szCs w:val="24"/>
        </w:rPr>
        <w:t>zvještaj</w:t>
      </w:r>
      <w:r w:rsidR="007A75B3">
        <w:rPr>
          <w:rFonts w:ascii="Times New Roman" w:hAnsi="Times New Roman" w:cs="Times New Roman"/>
          <w:b/>
          <w:sz w:val="24"/>
          <w:szCs w:val="24"/>
        </w:rPr>
        <w:t xml:space="preserve">a. </w:t>
      </w:r>
      <w:r w:rsidRPr="00843880">
        <w:rPr>
          <w:rFonts w:ascii="Times New Roman" w:hAnsi="Times New Roman" w:cs="Times New Roman"/>
          <w:b/>
          <w:sz w:val="24"/>
          <w:szCs w:val="24"/>
        </w:rPr>
        <w:t xml:space="preserve"> </w:t>
      </w:r>
    </w:p>
    <w:p w:rsidR="007A75B3" w:rsidRPr="00843880" w:rsidRDefault="007A75B3" w:rsidP="00843880">
      <w:pPr>
        <w:spacing w:line="240" w:lineRule="auto"/>
        <w:jc w:val="both"/>
        <w:rPr>
          <w:rFonts w:ascii="Times New Roman" w:hAnsi="Times New Roman" w:cs="Times New Roman"/>
          <w:b/>
          <w:sz w:val="24"/>
          <w:szCs w:val="24"/>
        </w:rPr>
      </w:pPr>
    </w:p>
    <w:p w:rsidR="00843880" w:rsidRPr="00843880" w:rsidRDefault="00843880" w:rsidP="00843880">
      <w:pPr>
        <w:numPr>
          <w:ilvl w:val="0"/>
          <w:numId w:val="2"/>
        </w:numPr>
        <w:spacing w:line="240" w:lineRule="auto"/>
        <w:jc w:val="both"/>
        <w:rPr>
          <w:rFonts w:ascii="Times New Roman" w:hAnsi="Times New Roman" w:cs="Times New Roman"/>
          <w:b/>
          <w:sz w:val="24"/>
          <w:szCs w:val="24"/>
          <w:lang w:val="x-none"/>
        </w:rPr>
      </w:pPr>
      <w:r w:rsidRPr="00843880">
        <w:rPr>
          <w:rFonts w:ascii="Times New Roman" w:hAnsi="Times New Roman" w:cs="Times New Roman"/>
          <w:b/>
          <w:sz w:val="24"/>
          <w:szCs w:val="24"/>
          <w:lang w:val="x-none"/>
        </w:rPr>
        <w:t>PRIHODI</w:t>
      </w:r>
    </w:p>
    <w:p w:rsidR="00843880" w:rsidRDefault="00843880" w:rsidP="00843880">
      <w:pPr>
        <w:spacing w:line="240" w:lineRule="auto"/>
        <w:jc w:val="both"/>
        <w:rPr>
          <w:rFonts w:ascii="Times New Roman" w:hAnsi="Times New Roman" w:cs="Times New Roman"/>
          <w:sz w:val="24"/>
          <w:szCs w:val="24"/>
        </w:rPr>
      </w:pPr>
      <w:r w:rsidRPr="00843880">
        <w:rPr>
          <w:rFonts w:ascii="Times New Roman" w:hAnsi="Times New Roman" w:cs="Times New Roman"/>
          <w:sz w:val="24"/>
          <w:szCs w:val="24"/>
        </w:rPr>
        <w:t xml:space="preserve">U ukupno ostvarenim prihodima najznačajniji udio imaju </w:t>
      </w:r>
      <w:r w:rsidRPr="00843880">
        <w:rPr>
          <w:rFonts w:ascii="Times New Roman" w:hAnsi="Times New Roman" w:cs="Times New Roman"/>
          <w:b/>
          <w:sz w:val="24"/>
          <w:szCs w:val="24"/>
        </w:rPr>
        <w:t>Prihodi iz nadležnog proračuna za financiranje rashoda poslovanja</w:t>
      </w:r>
      <w:r w:rsidRPr="00843880">
        <w:rPr>
          <w:rFonts w:ascii="Times New Roman" w:hAnsi="Times New Roman" w:cs="Times New Roman"/>
          <w:sz w:val="24"/>
          <w:szCs w:val="24"/>
        </w:rPr>
        <w:t xml:space="preserve"> iz </w:t>
      </w:r>
      <w:r w:rsidRPr="00843880">
        <w:rPr>
          <w:rFonts w:ascii="Times New Roman" w:hAnsi="Times New Roman" w:cs="Times New Roman"/>
          <w:b/>
          <w:sz w:val="24"/>
          <w:szCs w:val="24"/>
        </w:rPr>
        <w:t>općeg izvora (OPĆI PRIHODI)</w:t>
      </w:r>
      <w:r w:rsidRPr="00843880">
        <w:rPr>
          <w:rFonts w:ascii="Times New Roman" w:hAnsi="Times New Roman" w:cs="Times New Roman"/>
          <w:sz w:val="24"/>
          <w:szCs w:val="24"/>
        </w:rPr>
        <w:t xml:space="preserve"> </w:t>
      </w:r>
      <w:r w:rsidRPr="00843880">
        <w:rPr>
          <w:rFonts w:ascii="Times New Roman" w:hAnsi="Times New Roman" w:cs="Times New Roman"/>
          <w:b/>
          <w:sz w:val="24"/>
          <w:szCs w:val="24"/>
        </w:rPr>
        <w:t xml:space="preserve">u iznosu </w:t>
      </w:r>
      <w:r w:rsidR="00B83A98">
        <w:rPr>
          <w:rFonts w:ascii="Times New Roman" w:hAnsi="Times New Roman" w:cs="Times New Roman"/>
          <w:b/>
          <w:sz w:val="24"/>
          <w:szCs w:val="24"/>
        </w:rPr>
        <w:t xml:space="preserve">od </w:t>
      </w:r>
      <w:r w:rsidR="007A75B3">
        <w:rPr>
          <w:rFonts w:ascii="Times New Roman" w:hAnsi="Times New Roman" w:cs="Times New Roman"/>
          <w:b/>
          <w:sz w:val="24"/>
          <w:szCs w:val="24"/>
        </w:rPr>
        <w:t xml:space="preserve">3.779.974 </w:t>
      </w:r>
      <w:r w:rsidR="00B83A98">
        <w:rPr>
          <w:rFonts w:ascii="Times New Roman" w:hAnsi="Times New Roman" w:cs="Times New Roman"/>
          <w:b/>
          <w:sz w:val="24"/>
          <w:szCs w:val="24"/>
        </w:rPr>
        <w:t>EUR i</w:t>
      </w:r>
      <w:r w:rsidRPr="00843880">
        <w:rPr>
          <w:rFonts w:ascii="Times New Roman" w:hAnsi="Times New Roman" w:cs="Times New Roman"/>
          <w:b/>
          <w:sz w:val="24"/>
          <w:szCs w:val="24"/>
        </w:rPr>
        <w:t xml:space="preserve"> odnose se na sredstva za financiranje rashoda za zaposlene</w:t>
      </w:r>
      <w:r w:rsidRPr="00843880">
        <w:rPr>
          <w:rFonts w:ascii="Times New Roman" w:hAnsi="Times New Roman" w:cs="Times New Roman"/>
          <w:sz w:val="24"/>
          <w:szCs w:val="24"/>
        </w:rPr>
        <w:t xml:space="preserve"> </w:t>
      </w:r>
      <w:r w:rsidRPr="00843880">
        <w:rPr>
          <w:rFonts w:ascii="Times New Roman" w:hAnsi="Times New Roman" w:cs="Times New Roman"/>
          <w:b/>
          <w:sz w:val="24"/>
          <w:szCs w:val="24"/>
        </w:rPr>
        <w:t>i materijalnih troškova</w:t>
      </w:r>
      <w:r w:rsidRPr="00843880">
        <w:rPr>
          <w:rFonts w:ascii="Times New Roman" w:hAnsi="Times New Roman" w:cs="Times New Roman"/>
          <w:sz w:val="24"/>
          <w:szCs w:val="24"/>
        </w:rPr>
        <w:t xml:space="preserve"> u iznosu od </w:t>
      </w:r>
      <w:r w:rsidR="007A75B3" w:rsidRPr="007A75B3">
        <w:rPr>
          <w:rFonts w:ascii="Times New Roman" w:hAnsi="Times New Roman" w:cs="Times New Roman"/>
          <w:sz w:val="24"/>
          <w:szCs w:val="24"/>
        </w:rPr>
        <w:t>3.381.883</w:t>
      </w:r>
      <w:r w:rsidR="007A75B3">
        <w:rPr>
          <w:rFonts w:ascii="Times New Roman" w:hAnsi="Times New Roman" w:cs="Times New Roman"/>
          <w:sz w:val="24"/>
          <w:szCs w:val="24"/>
        </w:rPr>
        <w:t xml:space="preserve"> EUR </w:t>
      </w:r>
      <w:r w:rsidRPr="00843880">
        <w:rPr>
          <w:rFonts w:ascii="Times New Roman" w:hAnsi="Times New Roman" w:cs="Times New Roman"/>
          <w:sz w:val="24"/>
          <w:szCs w:val="24"/>
        </w:rPr>
        <w:t xml:space="preserve">i sredstva programskih ugovora u iznosu od </w:t>
      </w:r>
      <w:r w:rsidR="007A75B3">
        <w:rPr>
          <w:rFonts w:ascii="Times New Roman" w:hAnsi="Times New Roman" w:cs="Times New Roman"/>
          <w:sz w:val="24"/>
          <w:szCs w:val="24"/>
        </w:rPr>
        <w:t>381.607 EUR</w:t>
      </w:r>
      <w:r w:rsidRPr="00843880">
        <w:rPr>
          <w:rFonts w:ascii="Times New Roman" w:hAnsi="Times New Roman" w:cs="Times New Roman"/>
          <w:sz w:val="24"/>
          <w:szCs w:val="24"/>
        </w:rPr>
        <w:t xml:space="preserve"> </w:t>
      </w:r>
      <w:r w:rsidR="007A75B3">
        <w:rPr>
          <w:rFonts w:ascii="Times New Roman" w:hAnsi="Times New Roman" w:cs="Times New Roman"/>
          <w:sz w:val="24"/>
          <w:szCs w:val="24"/>
        </w:rPr>
        <w:t>koja su veća u odnosu</w:t>
      </w:r>
      <w:r w:rsidRPr="00843880">
        <w:rPr>
          <w:rFonts w:ascii="Times New Roman" w:hAnsi="Times New Roman" w:cs="Times New Roman"/>
          <w:sz w:val="24"/>
          <w:szCs w:val="24"/>
        </w:rPr>
        <w:t xml:space="preserve"> na prošlogodišnji iznos </w:t>
      </w:r>
      <w:r w:rsidR="007A75B3">
        <w:rPr>
          <w:rFonts w:ascii="Times New Roman" w:hAnsi="Times New Roman" w:cs="Times New Roman"/>
          <w:sz w:val="24"/>
          <w:szCs w:val="24"/>
        </w:rPr>
        <w:t>od 342.112 EUR</w:t>
      </w:r>
      <w:r w:rsidRPr="00843880">
        <w:rPr>
          <w:rFonts w:ascii="Times New Roman" w:hAnsi="Times New Roman" w:cs="Times New Roman"/>
          <w:sz w:val="24"/>
          <w:szCs w:val="24"/>
        </w:rPr>
        <w:t xml:space="preserve"> </w:t>
      </w:r>
      <w:r w:rsidR="007A75B3">
        <w:rPr>
          <w:rFonts w:ascii="Times New Roman" w:hAnsi="Times New Roman" w:cs="Times New Roman"/>
          <w:sz w:val="24"/>
          <w:szCs w:val="24"/>
        </w:rPr>
        <w:t>kad je</w:t>
      </w:r>
      <w:r w:rsidRPr="00843880">
        <w:rPr>
          <w:rFonts w:ascii="Times New Roman" w:hAnsi="Times New Roman" w:cs="Times New Roman"/>
          <w:sz w:val="24"/>
          <w:szCs w:val="24"/>
        </w:rPr>
        <w:t xml:space="preserve"> izostala akontacija za programske ugovore za ak. g. 2022./2023.</w:t>
      </w:r>
      <w:r w:rsidR="007A75B3">
        <w:rPr>
          <w:rFonts w:ascii="Times New Roman" w:hAnsi="Times New Roman" w:cs="Times New Roman"/>
          <w:sz w:val="24"/>
          <w:szCs w:val="24"/>
        </w:rPr>
        <w:t xml:space="preserve"> </w:t>
      </w:r>
      <w:r w:rsidR="00885BCD">
        <w:rPr>
          <w:rFonts w:ascii="Times New Roman" w:hAnsi="Times New Roman" w:cs="Times New Roman"/>
          <w:sz w:val="24"/>
          <w:szCs w:val="24"/>
        </w:rPr>
        <w:t xml:space="preserve">Do kraja 2023. godine od Sveučilišta u Rijeci </w:t>
      </w:r>
      <w:r w:rsidR="007A75B3">
        <w:rPr>
          <w:rFonts w:ascii="Times New Roman" w:hAnsi="Times New Roman" w:cs="Times New Roman"/>
          <w:sz w:val="24"/>
          <w:szCs w:val="24"/>
        </w:rPr>
        <w:t xml:space="preserve">nismo primili sredstva </w:t>
      </w:r>
      <w:r w:rsidR="00885BCD">
        <w:rPr>
          <w:rFonts w:ascii="Times New Roman" w:hAnsi="Times New Roman" w:cs="Times New Roman"/>
          <w:sz w:val="24"/>
          <w:szCs w:val="24"/>
        </w:rPr>
        <w:t xml:space="preserve">po konačnom </w:t>
      </w:r>
      <w:r w:rsidR="007A75B3">
        <w:rPr>
          <w:rFonts w:ascii="Times New Roman" w:hAnsi="Times New Roman" w:cs="Times New Roman"/>
          <w:sz w:val="24"/>
          <w:szCs w:val="24"/>
        </w:rPr>
        <w:t>obračun</w:t>
      </w:r>
      <w:r w:rsidR="00885BCD">
        <w:rPr>
          <w:rFonts w:ascii="Times New Roman" w:hAnsi="Times New Roman" w:cs="Times New Roman"/>
          <w:sz w:val="24"/>
          <w:szCs w:val="24"/>
        </w:rPr>
        <w:t>u</w:t>
      </w:r>
      <w:r w:rsidR="007A75B3">
        <w:rPr>
          <w:rFonts w:ascii="Times New Roman" w:hAnsi="Times New Roman" w:cs="Times New Roman"/>
          <w:sz w:val="24"/>
          <w:szCs w:val="24"/>
        </w:rPr>
        <w:t xml:space="preserve"> programskih ugovora za ak.g. 2022./2023., već samo akontaciju za ak.g. 2023./2024.</w:t>
      </w:r>
    </w:p>
    <w:p w:rsidR="00843880" w:rsidRPr="00843880" w:rsidRDefault="00843880" w:rsidP="00843880">
      <w:pPr>
        <w:spacing w:line="240" w:lineRule="auto"/>
        <w:jc w:val="both"/>
        <w:rPr>
          <w:rFonts w:ascii="Times New Roman" w:hAnsi="Times New Roman" w:cs="Times New Roman"/>
          <w:sz w:val="24"/>
          <w:szCs w:val="24"/>
          <w:lang w:val="x-none"/>
        </w:rPr>
      </w:pPr>
      <w:r w:rsidRPr="00843880">
        <w:rPr>
          <w:rFonts w:ascii="Times New Roman" w:hAnsi="Times New Roman" w:cs="Times New Roman"/>
          <w:b/>
          <w:sz w:val="24"/>
          <w:szCs w:val="24"/>
        </w:rPr>
        <w:t>VLASTITI</w:t>
      </w:r>
      <w:r w:rsidRPr="00843880">
        <w:rPr>
          <w:rFonts w:ascii="Times New Roman" w:hAnsi="Times New Roman" w:cs="Times New Roman"/>
          <w:b/>
          <w:sz w:val="24"/>
          <w:szCs w:val="24"/>
          <w:lang w:val="x-none"/>
        </w:rPr>
        <w:t xml:space="preserve"> PRIHODI</w:t>
      </w:r>
      <w:r w:rsidRPr="00843880">
        <w:rPr>
          <w:rFonts w:ascii="Times New Roman" w:hAnsi="Times New Roman" w:cs="Times New Roman"/>
          <w:sz w:val="24"/>
          <w:szCs w:val="24"/>
          <w:lang w:val="x-none"/>
        </w:rPr>
        <w:t xml:space="preserve"> </w:t>
      </w:r>
      <w:r w:rsidRPr="00843880">
        <w:rPr>
          <w:rFonts w:ascii="Times New Roman" w:hAnsi="Times New Roman" w:cs="Times New Roman"/>
          <w:sz w:val="24"/>
          <w:szCs w:val="24"/>
        </w:rPr>
        <w:t xml:space="preserve"> ostvareni</w:t>
      </w:r>
      <w:r w:rsidRPr="00843880">
        <w:rPr>
          <w:rFonts w:ascii="Times New Roman" w:hAnsi="Times New Roman" w:cs="Times New Roman"/>
          <w:sz w:val="24"/>
          <w:szCs w:val="24"/>
          <w:lang w:val="x-none"/>
        </w:rPr>
        <w:t xml:space="preserve"> </w:t>
      </w:r>
      <w:r w:rsidRPr="00843880">
        <w:rPr>
          <w:rFonts w:ascii="Times New Roman" w:hAnsi="Times New Roman" w:cs="Times New Roman"/>
          <w:sz w:val="24"/>
          <w:szCs w:val="24"/>
        </w:rPr>
        <w:t xml:space="preserve">su u iznosu od </w:t>
      </w:r>
      <w:r w:rsidR="007A75B3">
        <w:rPr>
          <w:rFonts w:ascii="Times New Roman" w:hAnsi="Times New Roman" w:cs="Times New Roman"/>
          <w:sz w:val="24"/>
          <w:szCs w:val="24"/>
        </w:rPr>
        <w:t>886.450 EUR</w:t>
      </w:r>
      <w:r w:rsidRPr="00843880">
        <w:rPr>
          <w:rFonts w:ascii="Times New Roman" w:hAnsi="Times New Roman" w:cs="Times New Roman"/>
          <w:sz w:val="24"/>
          <w:szCs w:val="24"/>
        </w:rPr>
        <w:t xml:space="preserve"> i </w:t>
      </w:r>
      <w:r w:rsidR="007A75B3">
        <w:rPr>
          <w:rFonts w:ascii="Times New Roman" w:hAnsi="Times New Roman" w:cs="Times New Roman"/>
          <w:sz w:val="24"/>
          <w:szCs w:val="24"/>
        </w:rPr>
        <w:t>već</w:t>
      </w:r>
      <w:r w:rsidR="00885BCD">
        <w:rPr>
          <w:rFonts w:ascii="Times New Roman" w:hAnsi="Times New Roman" w:cs="Times New Roman"/>
          <w:sz w:val="24"/>
          <w:szCs w:val="24"/>
        </w:rPr>
        <w:t>i</w:t>
      </w:r>
      <w:r w:rsidR="007A75B3">
        <w:rPr>
          <w:rFonts w:ascii="Times New Roman" w:hAnsi="Times New Roman" w:cs="Times New Roman"/>
          <w:sz w:val="24"/>
          <w:szCs w:val="24"/>
        </w:rPr>
        <w:t xml:space="preserve"> </w:t>
      </w:r>
      <w:r w:rsidRPr="00843880">
        <w:rPr>
          <w:rFonts w:ascii="Times New Roman" w:hAnsi="Times New Roman" w:cs="Times New Roman"/>
          <w:sz w:val="24"/>
          <w:szCs w:val="24"/>
        </w:rPr>
        <w:t>su u odnosu na prethodno razdoblje. Pregled ostvarenja najznačajnijih vlastitih prihoda u petogodišnjem razdoblju izgleda kako slijedi:</w:t>
      </w:r>
    </w:p>
    <w:p w:rsidR="00843880" w:rsidRPr="00843880" w:rsidRDefault="00843880" w:rsidP="00843880">
      <w:pPr>
        <w:spacing w:line="240" w:lineRule="auto"/>
        <w:jc w:val="both"/>
        <w:rPr>
          <w:rFonts w:ascii="Times New Roman" w:hAnsi="Times New Roman" w:cs="Times New Roman"/>
          <w:b/>
          <w:sz w:val="24"/>
          <w:szCs w:val="24"/>
        </w:rPr>
      </w:pPr>
      <w:r w:rsidRPr="00843880">
        <w:rPr>
          <w:rFonts w:ascii="Times New Roman" w:hAnsi="Times New Roman" w:cs="Times New Roman"/>
          <w:b/>
          <w:sz w:val="24"/>
          <w:szCs w:val="24"/>
          <w:lang w:val="x-none"/>
        </w:rPr>
        <w:t>Tablica 1.</w:t>
      </w:r>
      <w:r w:rsidR="007A75B3">
        <w:rPr>
          <w:rFonts w:ascii="Times New Roman" w:hAnsi="Times New Roman" w:cs="Times New Roman"/>
          <w:b/>
          <w:sz w:val="24"/>
          <w:szCs w:val="24"/>
        </w:rPr>
        <w:t>1</w:t>
      </w:r>
      <w:r w:rsidRPr="00843880">
        <w:rPr>
          <w:rFonts w:ascii="Times New Roman" w:hAnsi="Times New Roman" w:cs="Times New Roman"/>
          <w:b/>
          <w:sz w:val="24"/>
          <w:szCs w:val="24"/>
          <w:lang w:val="x-none"/>
        </w:rPr>
        <w:t xml:space="preserve">. </w:t>
      </w:r>
      <w:r w:rsidRPr="00843880">
        <w:rPr>
          <w:rFonts w:ascii="Times New Roman" w:hAnsi="Times New Roman" w:cs="Times New Roman"/>
          <w:b/>
          <w:sz w:val="24"/>
          <w:szCs w:val="24"/>
        </w:rPr>
        <w:t>Struktura vlastitih prihoda</w:t>
      </w:r>
    </w:p>
    <w:tbl>
      <w:tblPr>
        <w:tblpPr w:leftFromText="180" w:rightFromText="180" w:vertAnchor="text" w:horzAnchor="margin" w:tblpXSpec="center" w:tblpY="136"/>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6"/>
        <w:gridCol w:w="1276"/>
        <w:gridCol w:w="1276"/>
        <w:gridCol w:w="1201"/>
        <w:gridCol w:w="1350"/>
      </w:tblGrid>
      <w:tr w:rsidR="00B83A98" w:rsidRPr="00843880" w:rsidTr="00843880">
        <w:tc>
          <w:tcPr>
            <w:tcW w:w="2802" w:type="dxa"/>
            <w:tcBorders>
              <w:top w:val="single" w:sz="4" w:space="0" w:color="auto"/>
              <w:left w:val="single" w:sz="4" w:space="0" w:color="auto"/>
              <w:bottom w:val="single" w:sz="4" w:space="0" w:color="auto"/>
              <w:right w:val="single" w:sz="4" w:space="0" w:color="auto"/>
            </w:tcBorders>
            <w:shd w:val="clear" w:color="auto" w:fill="FFFFCC"/>
          </w:tcPr>
          <w:p w:rsidR="00B83A98" w:rsidRPr="00536E9A" w:rsidRDefault="00B83A98" w:rsidP="00B83A98">
            <w:pPr>
              <w:spacing w:line="240" w:lineRule="auto"/>
              <w:jc w:val="both"/>
              <w:rPr>
                <w:rFonts w:ascii="Times New Roman" w:hAnsi="Times New Roman" w:cs="Times New Roman"/>
                <w:b/>
                <w:sz w:val="20"/>
                <w:szCs w:val="20"/>
              </w:rPr>
            </w:pPr>
            <w:bookmarkStart w:id="0" w:name="_Hlk127364385"/>
            <w:r w:rsidRPr="00536E9A">
              <w:rPr>
                <w:rFonts w:ascii="Times New Roman" w:hAnsi="Times New Roman" w:cs="Times New Roman"/>
                <w:b/>
                <w:sz w:val="20"/>
                <w:szCs w:val="20"/>
              </w:rPr>
              <w:t xml:space="preserve">Opis </w:t>
            </w:r>
          </w:p>
        </w:tc>
        <w:tc>
          <w:tcPr>
            <w:tcW w:w="1276" w:type="dxa"/>
            <w:tcBorders>
              <w:top w:val="single" w:sz="4" w:space="0" w:color="auto"/>
              <w:left w:val="single" w:sz="4" w:space="0" w:color="auto"/>
              <w:bottom w:val="single" w:sz="4" w:space="0" w:color="auto"/>
              <w:right w:val="single" w:sz="4" w:space="0" w:color="auto"/>
            </w:tcBorders>
            <w:shd w:val="clear" w:color="auto" w:fill="FFFFCC"/>
          </w:tcPr>
          <w:p w:rsidR="00B83A98" w:rsidRPr="00536E9A" w:rsidRDefault="00B83A98" w:rsidP="00885BCD">
            <w:pPr>
              <w:spacing w:line="240" w:lineRule="auto"/>
              <w:jc w:val="center"/>
              <w:rPr>
                <w:rFonts w:ascii="Times New Roman" w:hAnsi="Times New Roman" w:cs="Times New Roman"/>
                <w:b/>
                <w:sz w:val="20"/>
                <w:szCs w:val="20"/>
              </w:rPr>
            </w:pPr>
            <w:r w:rsidRPr="00536E9A">
              <w:rPr>
                <w:rFonts w:ascii="Times New Roman" w:hAnsi="Times New Roman" w:cs="Times New Roman"/>
                <w:b/>
                <w:sz w:val="20"/>
                <w:szCs w:val="20"/>
              </w:rPr>
              <w:t>2019.</w:t>
            </w:r>
          </w:p>
        </w:tc>
        <w:tc>
          <w:tcPr>
            <w:tcW w:w="1276" w:type="dxa"/>
            <w:tcBorders>
              <w:top w:val="single" w:sz="4" w:space="0" w:color="auto"/>
              <w:left w:val="single" w:sz="4" w:space="0" w:color="auto"/>
              <w:bottom w:val="single" w:sz="4" w:space="0" w:color="auto"/>
              <w:right w:val="single" w:sz="4" w:space="0" w:color="auto"/>
            </w:tcBorders>
            <w:shd w:val="clear" w:color="auto" w:fill="FFFFCC"/>
          </w:tcPr>
          <w:p w:rsidR="00B83A98" w:rsidRPr="00536E9A" w:rsidRDefault="00B83A98" w:rsidP="00885BCD">
            <w:pPr>
              <w:spacing w:line="240" w:lineRule="auto"/>
              <w:jc w:val="center"/>
              <w:rPr>
                <w:rFonts w:ascii="Times New Roman" w:hAnsi="Times New Roman" w:cs="Times New Roman"/>
                <w:b/>
                <w:sz w:val="20"/>
                <w:szCs w:val="20"/>
              </w:rPr>
            </w:pPr>
            <w:r w:rsidRPr="00536E9A">
              <w:rPr>
                <w:rFonts w:ascii="Times New Roman" w:hAnsi="Times New Roman" w:cs="Times New Roman"/>
                <w:b/>
                <w:sz w:val="20"/>
                <w:szCs w:val="20"/>
              </w:rPr>
              <w:t>2020.</w:t>
            </w:r>
          </w:p>
        </w:tc>
        <w:tc>
          <w:tcPr>
            <w:tcW w:w="1276" w:type="dxa"/>
            <w:tcBorders>
              <w:top w:val="single" w:sz="4" w:space="0" w:color="auto"/>
              <w:left w:val="single" w:sz="4" w:space="0" w:color="auto"/>
              <w:bottom w:val="single" w:sz="4" w:space="0" w:color="auto"/>
              <w:right w:val="single" w:sz="4" w:space="0" w:color="auto"/>
            </w:tcBorders>
            <w:shd w:val="clear" w:color="auto" w:fill="FFFFCC"/>
          </w:tcPr>
          <w:p w:rsidR="00B83A98" w:rsidRPr="00536E9A" w:rsidRDefault="00B83A98" w:rsidP="00885BCD">
            <w:pPr>
              <w:spacing w:line="240" w:lineRule="auto"/>
              <w:jc w:val="center"/>
              <w:rPr>
                <w:rFonts w:ascii="Times New Roman" w:hAnsi="Times New Roman" w:cs="Times New Roman"/>
                <w:b/>
                <w:sz w:val="20"/>
                <w:szCs w:val="20"/>
              </w:rPr>
            </w:pPr>
            <w:r w:rsidRPr="00536E9A">
              <w:rPr>
                <w:rFonts w:ascii="Times New Roman" w:hAnsi="Times New Roman" w:cs="Times New Roman"/>
                <w:b/>
                <w:sz w:val="20"/>
                <w:szCs w:val="20"/>
              </w:rPr>
              <w:t>2021.</w:t>
            </w:r>
          </w:p>
        </w:tc>
        <w:tc>
          <w:tcPr>
            <w:tcW w:w="1201" w:type="dxa"/>
            <w:tcBorders>
              <w:top w:val="single" w:sz="4" w:space="0" w:color="auto"/>
              <w:left w:val="single" w:sz="4" w:space="0" w:color="auto"/>
              <w:bottom w:val="single" w:sz="4" w:space="0" w:color="auto"/>
              <w:right w:val="single" w:sz="4" w:space="0" w:color="auto"/>
            </w:tcBorders>
            <w:shd w:val="clear" w:color="auto" w:fill="FFFFCC"/>
          </w:tcPr>
          <w:p w:rsidR="00B83A98" w:rsidRPr="00536E9A" w:rsidRDefault="00B83A98" w:rsidP="00885BCD">
            <w:pPr>
              <w:spacing w:line="240" w:lineRule="auto"/>
              <w:jc w:val="center"/>
              <w:rPr>
                <w:rFonts w:ascii="Times New Roman" w:hAnsi="Times New Roman" w:cs="Times New Roman"/>
                <w:b/>
                <w:sz w:val="20"/>
                <w:szCs w:val="20"/>
              </w:rPr>
            </w:pPr>
            <w:r w:rsidRPr="00536E9A">
              <w:rPr>
                <w:rFonts w:ascii="Times New Roman" w:hAnsi="Times New Roman" w:cs="Times New Roman"/>
                <w:b/>
                <w:sz w:val="20"/>
                <w:szCs w:val="20"/>
              </w:rPr>
              <w:t>2022.</w:t>
            </w:r>
          </w:p>
        </w:tc>
        <w:tc>
          <w:tcPr>
            <w:tcW w:w="1350" w:type="dxa"/>
            <w:tcBorders>
              <w:top w:val="single" w:sz="4" w:space="0" w:color="auto"/>
              <w:left w:val="single" w:sz="4" w:space="0" w:color="auto"/>
              <w:bottom w:val="single" w:sz="4" w:space="0" w:color="auto"/>
              <w:right w:val="single" w:sz="4" w:space="0" w:color="auto"/>
            </w:tcBorders>
            <w:shd w:val="clear" w:color="auto" w:fill="FFFFCC"/>
          </w:tcPr>
          <w:p w:rsidR="00B83A98" w:rsidRPr="00536E9A" w:rsidRDefault="00B83A98" w:rsidP="00885BCD">
            <w:pPr>
              <w:spacing w:line="240" w:lineRule="auto"/>
              <w:jc w:val="center"/>
              <w:rPr>
                <w:rFonts w:ascii="Times New Roman" w:hAnsi="Times New Roman" w:cs="Times New Roman"/>
                <w:b/>
                <w:sz w:val="20"/>
                <w:szCs w:val="20"/>
              </w:rPr>
            </w:pPr>
            <w:r w:rsidRPr="00536E9A">
              <w:rPr>
                <w:rFonts w:ascii="Times New Roman" w:hAnsi="Times New Roman" w:cs="Times New Roman"/>
                <w:b/>
                <w:sz w:val="20"/>
                <w:szCs w:val="20"/>
              </w:rPr>
              <w:t>2023.</w:t>
            </w:r>
          </w:p>
        </w:tc>
      </w:tr>
      <w:tr w:rsidR="003233E3" w:rsidRPr="00843880" w:rsidTr="00F86E24">
        <w:tc>
          <w:tcPr>
            <w:tcW w:w="2802" w:type="dxa"/>
            <w:tcBorders>
              <w:top w:val="single" w:sz="8" w:space="0" w:color="auto"/>
              <w:left w:val="single" w:sz="8" w:space="0" w:color="auto"/>
              <w:bottom w:val="single" w:sz="8" w:space="0" w:color="auto"/>
              <w:right w:val="single" w:sz="8" w:space="0" w:color="auto"/>
            </w:tcBorders>
            <w:shd w:val="clear" w:color="auto" w:fill="auto"/>
            <w:vAlign w:val="center"/>
          </w:tcPr>
          <w:p w:rsidR="003233E3" w:rsidRPr="00536E9A" w:rsidRDefault="003233E3" w:rsidP="003233E3">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Izdavačka djelatnost</w:t>
            </w:r>
          </w:p>
        </w:tc>
        <w:tc>
          <w:tcPr>
            <w:tcW w:w="1276" w:type="dxa"/>
            <w:tcBorders>
              <w:top w:val="single" w:sz="8" w:space="0" w:color="auto"/>
              <w:left w:val="nil"/>
              <w:bottom w:val="single" w:sz="8" w:space="0" w:color="auto"/>
              <w:right w:val="single" w:sz="8" w:space="0" w:color="auto"/>
            </w:tcBorders>
            <w:shd w:val="clear" w:color="auto" w:fill="auto"/>
            <w:vAlign w:val="center"/>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1.171</w:t>
            </w:r>
          </w:p>
        </w:tc>
        <w:tc>
          <w:tcPr>
            <w:tcW w:w="1276" w:type="dxa"/>
            <w:tcBorders>
              <w:top w:val="single" w:sz="8" w:space="0" w:color="auto"/>
              <w:left w:val="nil"/>
              <w:bottom w:val="single" w:sz="8" w:space="0" w:color="auto"/>
              <w:right w:val="single" w:sz="8" w:space="0" w:color="auto"/>
            </w:tcBorders>
            <w:shd w:val="clear" w:color="auto" w:fill="auto"/>
            <w:vAlign w:val="center"/>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1.250</w:t>
            </w:r>
          </w:p>
        </w:tc>
        <w:tc>
          <w:tcPr>
            <w:tcW w:w="1276" w:type="dxa"/>
            <w:tcBorders>
              <w:top w:val="single" w:sz="8" w:space="0" w:color="auto"/>
              <w:left w:val="nil"/>
              <w:bottom w:val="single" w:sz="8" w:space="0" w:color="auto"/>
              <w:right w:val="single" w:sz="8" w:space="0" w:color="auto"/>
            </w:tcBorders>
            <w:shd w:val="clear" w:color="auto" w:fill="auto"/>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2.050</w:t>
            </w:r>
          </w:p>
        </w:tc>
        <w:tc>
          <w:tcPr>
            <w:tcW w:w="1201" w:type="dxa"/>
            <w:tcBorders>
              <w:top w:val="single" w:sz="8" w:space="0" w:color="auto"/>
              <w:left w:val="nil"/>
              <w:bottom w:val="single" w:sz="8" w:space="0" w:color="auto"/>
              <w:right w:val="single" w:sz="8" w:space="0" w:color="auto"/>
            </w:tcBorders>
            <w:shd w:val="clear" w:color="auto" w:fill="auto"/>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818</w:t>
            </w:r>
          </w:p>
        </w:tc>
        <w:tc>
          <w:tcPr>
            <w:tcW w:w="1350" w:type="dxa"/>
            <w:tcBorders>
              <w:top w:val="single" w:sz="8" w:space="0" w:color="auto"/>
              <w:left w:val="nil"/>
              <w:bottom w:val="single" w:sz="8" w:space="0" w:color="auto"/>
              <w:right w:val="single" w:sz="8" w:space="0" w:color="auto"/>
            </w:tcBorders>
            <w:shd w:val="clear" w:color="auto" w:fill="auto"/>
            <w:vAlign w:val="center"/>
          </w:tcPr>
          <w:p w:rsidR="003233E3" w:rsidRPr="00536E9A" w:rsidRDefault="00A91BC6"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568</w:t>
            </w:r>
          </w:p>
        </w:tc>
      </w:tr>
      <w:tr w:rsidR="003233E3" w:rsidRPr="00843880" w:rsidTr="00A91BC6">
        <w:trPr>
          <w:trHeight w:val="176"/>
        </w:trPr>
        <w:tc>
          <w:tcPr>
            <w:tcW w:w="2802" w:type="dxa"/>
            <w:tcBorders>
              <w:top w:val="nil"/>
              <w:left w:val="single" w:sz="8" w:space="0" w:color="auto"/>
              <w:bottom w:val="single" w:sz="8" w:space="0" w:color="auto"/>
              <w:right w:val="single" w:sz="8" w:space="0" w:color="auto"/>
            </w:tcBorders>
            <w:shd w:val="clear" w:color="auto" w:fill="auto"/>
            <w:vAlign w:val="center"/>
          </w:tcPr>
          <w:p w:rsidR="003233E3" w:rsidRPr="00536E9A" w:rsidRDefault="003233E3" w:rsidP="003233E3">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Prihodi od usluga Centra za izobrazbu pomoraca</w:t>
            </w:r>
          </w:p>
        </w:tc>
        <w:tc>
          <w:tcPr>
            <w:tcW w:w="1276" w:type="dxa"/>
            <w:tcBorders>
              <w:top w:val="nil"/>
              <w:left w:val="nil"/>
              <w:bottom w:val="single" w:sz="8" w:space="0" w:color="auto"/>
              <w:right w:val="single" w:sz="8" w:space="0" w:color="auto"/>
            </w:tcBorders>
            <w:shd w:val="clear" w:color="auto" w:fill="auto"/>
            <w:vAlign w:val="center"/>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250.229</w:t>
            </w:r>
          </w:p>
        </w:tc>
        <w:tc>
          <w:tcPr>
            <w:tcW w:w="1276" w:type="dxa"/>
            <w:tcBorders>
              <w:top w:val="nil"/>
              <w:left w:val="nil"/>
              <w:bottom w:val="single" w:sz="8" w:space="0" w:color="auto"/>
              <w:right w:val="single" w:sz="8" w:space="0" w:color="auto"/>
            </w:tcBorders>
            <w:shd w:val="clear" w:color="auto" w:fill="auto"/>
            <w:vAlign w:val="center"/>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161.583</w:t>
            </w:r>
          </w:p>
        </w:tc>
        <w:tc>
          <w:tcPr>
            <w:tcW w:w="1276" w:type="dxa"/>
            <w:tcBorders>
              <w:top w:val="nil"/>
              <w:left w:val="nil"/>
              <w:bottom w:val="single" w:sz="8" w:space="0" w:color="auto"/>
              <w:right w:val="single" w:sz="8" w:space="0" w:color="auto"/>
            </w:tcBorders>
            <w:shd w:val="clear" w:color="auto" w:fill="auto"/>
            <w:vAlign w:val="center"/>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203.050</w:t>
            </w:r>
          </w:p>
        </w:tc>
        <w:tc>
          <w:tcPr>
            <w:tcW w:w="1201" w:type="dxa"/>
            <w:tcBorders>
              <w:top w:val="nil"/>
              <w:left w:val="nil"/>
              <w:bottom w:val="single" w:sz="8" w:space="0" w:color="auto"/>
              <w:right w:val="single" w:sz="8" w:space="0" w:color="auto"/>
            </w:tcBorders>
            <w:shd w:val="clear" w:color="auto" w:fill="auto"/>
            <w:vAlign w:val="center"/>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196.871</w:t>
            </w:r>
          </w:p>
        </w:tc>
        <w:tc>
          <w:tcPr>
            <w:tcW w:w="1350" w:type="dxa"/>
            <w:tcBorders>
              <w:top w:val="nil"/>
              <w:left w:val="nil"/>
              <w:bottom w:val="single" w:sz="8" w:space="0" w:color="auto"/>
              <w:right w:val="single" w:sz="8" w:space="0" w:color="auto"/>
            </w:tcBorders>
            <w:shd w:val="clear" w:color="auto" w:fill="auto"/>
            <w:vAlign w:val="center"/>
          </w:tcPr>
          <w:p w:rsidR="003233E3" w:rsidRPr="00536E9A" w:rsidRDefault="003D4D6A"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236.012</w:t>
            </w:r>
          </w:p>
        </w:tc>
      </w:tr>
      <w:tr w:rsidR="003233E3" w:rsidRPr="00843880" w:rsidTr="00A91BC6">
        <w:tc>
          <w:tcPr>
            <w:tcW w:w="2802" w:type="dxa"/>
            <w:tcBorders>
              <w:top w:val="nil"/>
              <w:left w:val="single" w:sz="8" w:space="0" w:color="auto"/>
              <w:bottom w:val="single" w:sz="8" w:space="0" w:color="auto"/>
              <w:right w:val="single" w:sz="8" w:space="0" w:color="auto"/>
            </w:tcBorders>
            <w:shd w:val="clear" w:color="auto" w:fill="auto"/>
            <w:vAlign w:val="center"/>
          </w:tcPr>
          <w:p w:rsidR="003233E3" w:rsidRPr="00536E9A" w:rsidRDefault="003233E3" w:rsidP="003233E3">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Prihodi od Posebnog programa obrazovanja</w:t>
            </w:r>
          </w:p>
        </w:tc>
        <w:tc>
          <w:tcPr>
            <w:tcW w:w="1276" w:type="dxa"/>
            <w:tcBorders>
              <w:top w:val="nil"/>
              <w:left w:val="nil"/>
              <w:bottom w:val="single" w:sz="8" w:space="0" w:color="auto"/>
              <w:right w:val="single" w:sz="8" w:space="0" w:color="auto"/>
            </w:tcBorders>
            <w:shd w:val="clear" w:color="auto" w:fill="auto"/>
            <w:vAlign w:val="center"/>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175.857</w:t>
            </w:r>
          </w:p>
        </w:tc>
        <w:tc>
          <w:tcPr>
            <w:tcW w:w="1276" w:type="dxa"/>
            <w:tcBorders>
              <w:top w:val="nil"/>
              <w:left w:val="nil"/>
              <w:bottom w:val="single" w:sz="8" w:space="0" w:color="auto"/>
              <w:right w:val="single" w:sz="8" w:space="0" w:color="auto"/>
            </w:tcBorders>
            <w:shd w:val="clear" w:color="auto" w:fill="auto"/>
            <w:vAlign w:val="center"/>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109.361</w:t>
            </w:r>
          </w:p>
        </w:tc>
        <w:tc>
          <w:tcPr>
            <w:tcW w:w="1276" w:type="dxa"/>
            <w:tcBorders>
              <w:top w:val="nil"/>
              <w:left w:val="nil"/>
              <w:bottom w:val="single" w:sz="8" w:space="0" w:color="auto"/>
              <w:right w:val="single" w:sz="8" w:space="0" w:color="auto"/>
            </w:tcBorders>
            <w:shd w:val="clear" w:color="auto" w:fill="auto"/>
            <w:vAlign w:val="center"/>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153.295</w:t>
            </w:r>
          </w:p>
        </w:tc>
        <w:tc>
          <w:tcPr>
            <w:tcW w:w="1201" w:type="dxa"/>
            <w:tcBorders>
              <w:top w:val="nil"/>
              <w:left w:val="nil"/>
              <w:bottom w:val="single" w:sz="8" w:space="0" w:color="auto"/>
              <w:right w:val="single" w:sz="8" w:space="0" w:color="auto"/>
            </w:tcBorders>
            <w:shd w:val="clear" w:color="auto" w:fill="auto"/>
            <w:vAlign w:val="center"/>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118.867</w:t>
            </w:r>
          </w:p>
        </w:tc>
        <w:tc>
          <w:tcPr>
            <w:tcW w:w="1350" w:type="dxa"/>
            <w:tcBorders>
              <w:top w:val="nil"/>
              <w:left w:val="nil"/>
              <w:bottom w:val="single" w:sz="8" w:space="0" w:color="auto"/>
              <w:right w:val="single" w:sz="8" w:space="0" w:color="auto"/>
            </w:tcBorders>
            <w:shd w:val="clear" w:color="auto" w:fill="auto"/>
            <w:vAlign w:val="center"/>
          </w:tcPr>
          <w:p w:rsidR="003233E3" w:rsidRPr="00536E9A" w:rsidRDefault="003D4D6A"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201.522</w:t>
            </w:r>
          </w:p>
        </w:tc>
      </w:tr>
      <w:tr w:rsidR="003233E3" w:rsidRPr="00843880" w:rsidTr="00A91BC6">
        <w:tc>
          <w:tcPr>
            <w:tcW w:w="2802" w:type="dxa"/>
            <w:tcBorders>
              <w:top w:val="nil"/>
              <w:left w:val="single" w:sz="8" w:space="0" w:color="auto"/>
              <w:bottom w:val="single" w:sz="8" w:space="0" w:color="auto"/>
              <w:right w:val="single" w:sz="8" w:space="0" w:color="auto"/>
            </w:tcBorders>
            <w:shd w:val="clear" w:color="auto" w:fill="auto"/>
            <w:vAlign w:val="center"/>
          </w:tcPr>
          <w:p w:rsidR="003233E3" w:rsidRPr="00536E9A" w:rsidRDefault="003233E3" w:rsidP="003233E3">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Prihodi od stručnih projekata</w:t>
            </w:r>
          </w:p>
        </w:tc>
        <w:tc>
          <w:tcPr>
            <w:tcW w:w="1276" w:type="dxa"/>
            <w:tcBorders>
              <w:top w:val="nil"/>
              <w:left w:val="nil"/>
              <w:bottom w:val="single" w:sz="8" w:space="0" w:color="auto"/>
              <w:right w:val="single" w:sz="8" w:space="0" w:color="auto"/>
            </w:tcBorders>
            <w:shd w:val="clear" w:color="auto" w:fill="auto"/>
            <w:vAlign w:val="center"/>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438.040</w:t>
            </w:r>
          </w:p>
        </w:tc>
        <w:tc>
          <w:tcPr>
            <w:tcW w:w="1276" w:type="dxa"/>
            <w:tcBorders>
              <w:top w:val="nil"/>
              <w:left w:val="nil"/>
              <w:bottom w:val="single" w:sz="8" w:space="0" w:color="auto"/>
              <w:right w:val="single" w:sz="8" w:space="0" w:color="auto"/>
            </w:tcBorders>
            <w:shd w:val="clear" w:color="auto" w:fill="auto"/>
            <w:vAlign w:val="center"/>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259.466</w:t>
            </w:r>
          </w:p>
        </w:tc>
        <w:tc>
          <w:tcPr>
            <w:tcW w:w="1276" w:type="dxa"/>
            <w:tcBorders>
              <w:top w:val="nil"/>
              <w:left w:val="nil"/>
              <w:bottom w:val="single" w:sz="8" w:space="0" w:color="auto"/>
              <w:right w:val="single" w:sz="8" w:space="0" w:color="auto"/>
            </w:tcBorders>
            <w:shd w:val="clear" w:color="auto" w:fill="auto"/>
            <w:vAlign w:val="center"/>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371.965</w:t>
            </w:r>
          </w:p>
        </w:tc>
        <w:tc>
          <w:tcPr>
            <w:tcW w:w="1201" w:type="dxa"/>
            <w:tcBorders>
              <w:top w:val="nil"/>
              <w:left w:val="nil"/>
              <w:bottom w:val="single" w:sz="8" w:space="0" w:color="auto"/>
              <w:right w:val="single" w:sz="8" w:space="0" w:color="auto"/>
            </w:tcBorders>
            <w:shd w:val="clear" w:color="auto" w:fill="auto"/>
            <w:vAlign w:val="center"/>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373.688</w:t>
            </w:r>
          </w:p>
        </w:tc>
        <w:tc>
          <w:tcPr>
            <w:tcW w:w="1350" w:type="dxa"/>
            <w:tcBorders>
              <w:top w:val="nil"/>
              <w:left w:val="nil"/>
              <w:bottom w:val="single" w:sz="8" w:space="0" w:color="auto"/>
              <w:right w:val="single" w:sz="8" w:space="0" w:color="auto"/>
            </w:tcBorders>
            <w:shd w:val="clear" w:color="auto" w:fill="auto"/>
            <w:vAlign w:val="center"/>
          </w:tcPr>
          <w:p w:rsidR="003233E3" w:rsidRPr="00536E9A" w:rsidRDefault="003233E3"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412.43</w:t>
            </w:r>
            <w:r w:rsidR="00A91BC6" w:rsidRPr="00536E9A">
              <w:rPr>
                <w:rFonts w:ascii="Times New Roman" w:hAnsi="Times New Roman" w:cs="Times New Roman"/>
                <w:sz w:val="20"/>
                <w:szCs w:val="20"/>
              </w:rPr>
              <w:t>6</w:t>
            </w:r>
          </w:p>
        </w:tc>
      </w:tr>
      <w:tr w:rsidR="003233E3" w:rsidRPr="00843880" w:rsidTr="00F34BB0">
        <w:tc>
          <w:tcPr>
            <w:tcW w:w="2802" w:type="dxa"/>
            <w:tcBorders>
              <w:top w:val="nil"/>
              <w:left w:val="single" w:sz="8" w:space="0" w:color="auto"/>
              <w:bottom w:val="single" w:sz="8" w:space="0" w:color="auto"/>
              <w:right w:val="single" w:sz="8" w:space="0" w:color="auto"/>
            </w:tcBorders>
            <w:shd w:val="clear" w:color="auto" w:fill="auto"/>
            <w:vAlign w:val="center"/>
          </w:tcPr>
          <w:p w:rsidR="003233E3" w:rsidRPr="00536E9A" w:rsidRDefault="003233E3" w:rsidP="003233E3">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Prihodi od sponzorstva</w:t>
            </w:r>
          </w:p>
        </w:tc>
        <w:tc>
          <w:tcPr>
            <w:tcW w:w="1276" w:type="dxa"/>
            <w:tcBorders>
              <w:top w:val="nil"/>
              <w:left w:val="nil"/>
              <w:bottom w:val="single" w:sz="8" w:space="0" w:color="auto"/>
              <w:right w:val="single" w:sz="8" w:space="0" w:color="auto"/>
            </w:tcBorders>
            <w:shd w:val="clear" w:color="auto" w:fill="auto"/>
            <w:vAlign w:val="center"/>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35.437</w:t>
            </w:r>
          </w:p>
        </w:tc>
        <w:tc>
          <w:tcPr>
            <w:tcW w:w="1276" w:type="dxa"/>
            <w:tcBorders>
              <w:top w:val="nil"/>
              <w:left w:val="nil"/>
              <w:bottom w:val="single" w:sz="8" w:space="0" w:color="auto"/>
              <w:right w:val="single" w:sz="8" w:space="0" w:color="auto"/>
            </w:tcBorders>
            <w:shd w:val="clear" w:color="auto" w:fill="auto"/>
            <w:vAlign w:val="center"/>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0</w:t>
            </w:r>
          </w:p>
        </w:tc>
        <w:tc>
          <w:tcPr>
            <w:tcW w:w="1276" w:type="dxa"/>
            <w:tcBorders>
              <w:top w:val="nil"/>
              <w:left w:val="nil"/>
              <w:bottom w:val="single" w:sz="8" w:space="0" w:color="auto"/>
              <w:right w:val="single" w:sz="8" w:space="0" w:color="auto"/>
            </w:tcBorders>
            <w:shd w:val="clear" w:color="auto" w:fill="auto"/>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0</w:t>
            </w:r>
          </w:p>
        </w:tc>
        <w:tc>
          <w:tcPr>
            <w:tcW w:w="1201" w:type="dxa"/>
            <w:tcBorders>
              <w:top w:val="nil"/>
              <w:left w:val="nil"/>
              <w:bottom w:val="single" w:sz="8" w:space="0" w:color="auto"/>
              <w:right w:val="single" w:sz="8" w:space="0" w:color="auto"/>
            </w:tcBorders>
            <w:shd w:val="clear" w:color="auto" w:fill="auto"/>
          </w:tcPr>
          <w:p w:rsidR="003233E3" w:rsidRPr="00536E9A" w:rsidRDefault="003233E3" w:rsidP="003233E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18.569</w:t>
            </w:r>
          </w:p>
        </w:tc>
        <w:tc>
          <w:tcPr>
            <w:tcW w:w="1350" w:type="dxa"/>
            <w:tcBorders>
              <w:top w:val="nil"/>
              <w:left w:val="nil"/>
              <w:bottom w:val="single" w:sz="8" w:space="0" w:color="auto"/>
              <w:right w:val="single" w:sz="8" w:space="0" w:color="auto"/>
            </w:tcBorders>
            <w:shd w:val="clear" w:color="auto" w:fill="auto"/>
          </w:tcPr>
          <w:p w:rsidR="003233E3" w:rsidRPr="00536E9A" w:rsidRDefault="00A91BC6"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2.000</w:t>
            </w:r>
          </w:p>
        </w:tc>
      </w:tr>
      <w:tr w:rsidR="00A91BC6" w:rsidRPr="00843880" w:rsidTr="00F34BB0">
        <w:tc>
          <w:tcPr>
            <w:tcW w:w="2802" w:type="dxa"/>
            <w:tcBorders>
              <w:top w:val="nil"/>
              <w:left w:val="single" w:sz="8" w:space="0" w:color="auto"/>
              <w:bottom w:val="single" w:sz="8" w:space="0" w:color="auto"/>
              <w:right w:val="single" w:sz="8" w:space="0" w:color="auto"/>
            </w:tcBorders>
            <w:shd w:val="clear" w:color="auto" w:fill="auto"/>
            <w:vAlign w:val="center"/>
          </w:tcPr>
          <w:p w:rsidR="00A91BC6" w:rsidRPr="00536E9A" w:rsidRDefault="00A91BC6" w:rsidP="00A91BC6">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 xml:space="preserve">Ostali vlastiti prihodi </w:t>
            </w:r>
          </w:p>
        </w:tc>
        <w:tc>
          <w:tcPr>
            <w:tcW w:w="1276" w:type="dxa"/>
            <w:tcBorders>
              <w:top w:val="nil"/>
              <w:left w:val="nil"/>
              <w:bottom w:val="single" w:sz="8" w:space="0" w:color="auto"/>
              <w:right w:val="single" w:sz="8" w:space="0" w:color="auto"/>
            </w:tcBorders>
            <w:shd w:val="clear" w:color="auto" w:fill="auto"/>
            <w:vAlign w:val="center"/>
          </w:tcPr>
          <w:p w:rsidR="00A91BC6" w:rsidRPr="00536E9A" w:rsidRDefault="00A91BC6"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32.731</w:t>
            </w:r>
          </w:p>
        </w:tc>
        <w:tc>
          <w:tcPr>
            <w:tcW w:w="1276" w:type="dxa"/>
            <w:tcBorders>
              <w:top w:val="nil"/>
              <w:left w:val="nil"/>
              <w:bottom w:val="single" w:sz="8" w:space="0" w:color="auto"/>
              <w:right w:val="single" w:sz="8" w:space="0" w:color="auto"/>
            </w:tcBorders>
            <w:shd w:val="clear" w:color="auto" w:fill="auto"/>
            <w:vAlign w:val="center"/>
          </w:tcPr>
          <w:p w:rsidR="00A91BC6" w:rsidRPr="00536E9A" w:rsidRDefault="00A91BC6"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69.126</w:t>
            </w:r>
          </w:p>
        </w:tc>
        <w:tc>
          <w:tcPr>
            <w:tcW w:w="1276" w:type="dxa"/>
            <w:tcBorders>
              <w:top w:val="nil"/>
              <w:left w:val="nil"/>
              <w:bottom w:val="single" w:sz="8" w:space="0" w:color="auto"/>
              <w:right w:val="single" w:sz="8" w:space="0" w:color="auto"/>
            </w:tcBorders>
            <w:shd w:val="clear" w:color="auto" w:fill="auto"/>
          </w:tcPr>
          <w:p w:rsidR="00A91BC6" w:rsidRPr="00536E9A" w:rsidRDefault="00A91BC6"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140.666</w:t>
            </w:r>
          </w:p>
        </w:tc>
        <w:tc>
          <w:tcPr>
            <w:tcW w:w="1201" w:type="dxa"/>
            <w:tcBorders>
              <w:top w:val="nil"/>
              <w:left w:val="nil"/>
              <w:bottom w:val="single" w:sz="8" w:space="0" w:color="auto"/>
              <w:right w:val="single" w:sz="8" w:space="0" w:color="auto"/>
            </w:tcBorders>
            <w:shd w:val="clear" w:color="auto" w:fill="auto"/>
          </w:tcPr>
          <w:p w:rsidR="00A91BC6" w:rsidRPr="00536E9A" w:rsidRDefault="00A91BC6"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15.518</w:t>
            </w:r>
          </w:p>
        </w:tc>
        <w:tc>
          <w:tcPr>
            <w:tcW w:w="1350" w:type="dxa"/>
            <w:tcBorders>
              <w:top w:val="nil"/>
              <w:left w:val="nil"/>
              <w:bottom w:val="single" w:sz="8" w:space="0" w:color="auto"/>
              <w:right w:val="single" w:sz="8" w:space="0" w:color="auto"/>
            </w:tcBorders>
            <w:shd w:val="clear" w:color="auto" w:fill="auto"/>
          </w:tcPr>
          <w:p w:rsidR="00A91BC6" w:rsidRPr="00536E9A" w:rsidRDefault="003D4D6A"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8.899</w:t>
            </w:r>
          </w:p>
        </w:tc>
      </w:tr>
      <w:tr w:rsidR="00A91BC6" w:rsidRPr="00843880" w:rsidTr="00F86E24">
        <w:tc>
          <w:tcPr>
            <w:tcW w:w="2802" w:type="dxa"/>
            <w:tcBorders>
              <w:top w:val="nil"/>
              <w:left w:val="single" w:sz="8" w:space="0" w:color="auto"/>
              <w:bottom w:val="single" w:sz="8" w:space="0" w:color="auto"/>
              <w:right w:val="single" w:sz="8" w:space="0" w:color="auto"/>
            </w:tcBorders>
            <w:shd w:val="clear" w:color="auto" w:fill="auto"/>
            <w:vAlign w:val="center"/>
          </w:tcPr>
          <w:p w:rsidR="00A91BC6" w:rsidRPr="00536E9A" w:rsidRDefault="00A91BC6" w:rsidP="00A91BC6">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Prihodi od zakupa</w:t>
            </w:r>
          </w:p>
        </w:tc>
        <w:tc>
          <w:tcPr>
            <w:tcW w:w="1276" w:type="dxa"/>
            <w:tcBorders>
              <w:top w:val="nil"/>
              <w:left w:val="nil"/>
              <w:bottom w:val="single" w:sz="8" w:space="0" w:color="auto"/>
              <w:right w:val="single" w:sz="8" w:space="0" w:color="auto"/>
            </w:tcBorders>
            <w:shd w:val="clear" w:color="auto" w:fill="auto"/>
            <w:vAlign w:val="center"/>
          </w:tcPr>
          <w:p w:rsidR="00A91BC6" w:rsidRPr="00536E9A" w:rsidRDefault="00A91BC6"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10.517</w:t>
            </w:r>
          </w:p>
        </w:tc>
        <w:tc>
          <w:tcPr>
            <w:tcW w:w="1276" w:type="dxa"/>
            <w:tcBorders>
              <w:top w:val="nil"/>
              <w:left w:val="nil"/>
              <w:bottom w:val="single" w:sz="8" w:space="0" w:color="auto"/>
              <w:right w:val="single" w:sz="8" w:space="0" w:color="auto"/>
            </w:tcBorders>
            <w:shd w:val="clear" w:color="auto" w:fill="auto"/>
            <w:vAlign w:val="center"/>
          </w:tcPr>
          <w:p w:rsidR="00A91BC6" w:rsidRPr="00536E9A" w:rsidRDefault="00A91BC6"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11.104</w:t>
            </w:r>
          </w:p>
        </w:tc>
        <w:tc>
          <w:tcPr>
            <w:tcW w:w="1276" w:type="dxa"/>
            <w:tcBorders>
              <w:top w:val="nil"/>
              <w:left w:val="nil"/>
              <w:bottom w:val="single" w:sz="8" w:space="0" w:color="auto"/>
              <w:right w:val="single" w:sz="8" w:space="0" w:color="auto"/>
            </w:tcBorders>
            <w:shd w:val="clear" w:color="auto" w:fill="auto"/>
          </w:tcPr>
          <w:p w:rsidR="00A91BC6" w:rsidRPr="00536E9A" w:rsidRDefault="00A91BC6"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10.804</w:t>
            </w:r>
          </w:p>
        </w:tc>
        <w:tc>
          <w:tcPr>
            <w:tcW w:w="1201" w:type="dxa"/>
            <w:tcBorders>
              <w:top w:val="nil"/>
              <w:left w:val="nil"/>
              <w:bottom w:val="single" w:sz="8" w:space="0" w:color="auto"/>
              <w:right w:val="single" w:sz="8" w:space="0" w:color="auto"/>
            </w:tcBorders>
            <w:shd w:val="clear" w:color="auto" w:fill="auto"/>
          </w:tcPr>
          <w:p w:rsidR="00A91BC6" w:rsidRPr="00536E9A" w:rsidRDefault="00A91BC6"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12.532</w:t>
            </w:r>
          </w:p>
        </w:tc>
        <w:tc>
          <w:tcPr>
            <w:tcW w:w="1350" w:type="dxa"/>
            <w:tcBorders>
              <w:top w:val="nil"/>
              <w:left w:val="nil"/>
              <w:bottom w:val="single" w:sz="8" w:space="0" w:color="auto"/>
              <w:right w:val="single" w:sz="8" w:space="0" w:color="auto"/>
            </w:tcBorders>
            <w:shd w:val="clear" w:color="auto" w:fill="auto"/>
            <w:vAlign w:val="center"/>
          </w:tcPr>
          <w:p w:rsidR="00A91BC6" w:rsidRPr="00536E9A" w:rsidRDefault="00A91BC6"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14.</w:t>
            </w:r>
            <w:r w:rsidR="003D4D6A" w:rsidRPr="00536E9A">
              <w:rPr>
                <w:rFonts w:ascii="Times New Roman" w:hAnsi="Times New Roman" w:cs="Times New Roman"/>
                <w:sz w:val="20"/>
                <w:szCs w:val="20"/>
              </w:rPr>
              <w:t>262</w:t>
            </w:r>
          </w:p>
        </w:tc>
      </w:tr>
      <w:tr w:rsidR="00A91BC6" w:rsidRPr="00843880" w:rsidTr="003233E3">
        <w:tc>
          <w:tcPr>
            <w:tcW w:w="2802" w:type="dxa"/>
            <w:tcBorders>
              <w:top w:val="nil"/>
              <w:left w:val="single" w:sz="8" w:space="0" w:color="auto"/>
              <w:bottom w:val="single" w:sz="8" w:space="0" w:color="auto"/>
              <w:right w:val="single" w:sz="8" w:space="0" w:color="auto"/>
            </w:tcBorders>
            <w:shd w:val="clear" w:color="auto" w:fill="auto"/>
            <w:vAlign w:val="center"/>
          </w:tcPr>
          <w:p w:rsidR="00A91BC6" w:rsidRPr="00536E9A" w:rsidRDefault="00A91BC6" w:rsidP="00A91BC6">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Prihodi od refundacija režija (Studentski centar)</w:t>
            </w:r>
          </w:p>
        </w:tc>
        <w:tc>
          <w:tcPr>
            <w:tcW w:w="1276" w:type="dxa"/>
            <w:tcBorders>
              <w:top w:val="nil"/>
              <w:left w:val="nil"/>
              <w:bottom w:val="single" w:sz="8" w:space="0" w:color="auto"/>
              <w:right w:val="single" w:sz="8" w:space="0" w:color="auto"/>
            </w:tcBorders>
            <w:shd w:val="clear" w:color="auto" w:fill="auto"/>
            <w:vAlign w:val="center"/>
          </w:tcPr>
          <w:p w:rsidR="00A91BC6" w:rsidRPr="00536E9A" w:rsidRDefault="00A91BC6"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6.236</w:t>
            </w:r>
          </w:p>
        </w:tc>
        <w:tc>
          <w:tcPr>
            <w:tcW w:w="1276" w:type="dxa"/>
            <w:tcBorders>
              <w:top w:val="nil"/>
              <w:left w:val="nil"/>
              <w:bottom w:val="single" w:sz="8" w:space="0" w:color="auto"/>
              <w:right w:val="single" w:sz="8" w:space="0" w:color="auto"/>
            </w:tcBorders>
            <w:shd w:val="clear" w:color="auto" w:fill="auto"/>
            <w:vAlign w:val="center"/>
          </w:tcPr>
          <w:p w:rsidR="00A91BC6" w:rsidRPr="00536E9A" w:rsidRDefault="00A91BC6"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3.988</w:t>
            </w:r>
          </w:p>
        </w:tc>
        <w:tc>
          <w:tcPr>
            <w:tcW w:w="1276" w:type="dxa"/>
            <w:tcBorders>
              <w:top w:val="nil"/>
              <w:left w:val="nil"/>
              <w:bottom w:val="single" w:sz="8" w:space="0" w:color="auto"/>
              <w:right w:val="single" w:sz="8" w:space="0" w:color="auto"/>
            </w:tcBorders>
            <w:shd w:val="clear" w:color="auto" w:fill="auto"/>
            <w:vAlign w:val="center"/>
          </w:tcPr>
          <w:p w:rsidR="00A91BC6" w:rsidRPr="00536E9A" w:rsidRDefault="00A91BC6"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6.217</w:t>
            </w:r>
          </w:p>
        </w:tc>
        <w:tc>
          <w:tcPr>
            <w:tcW w:w="1201" w:type="dxa"/>
            <w:tcBorders>
              <w:top w:val="nil"/>
              <w:left w:val="nil"/>
              <w:bottom w:val="single" w:sz="8" w:space="0" w:color="auto"/>
              <w:right w:val="single" w:sz="8" w:space="0" w:color="auto"/>
            </w:tcBorders>
            <w:shd w:val="clear" w:color="auto" w:fill="auto"/>
            <w:vAlign w:val="center"/>
          </w:tcPr>
          <w:p w:rsidR="00A91BC6" w:rsidRPr="00536E9A" w:rsidRDefault="00A91BC6"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7.426</w:t>
            </w:r>
          </w:p>
        </w:tc>
        <w:tc>
          <w:tcPr>
            <w:tcW w:w="1350" w:type="dxa"/>
            <w:tcBorders>
              <w:top w:val="nil"/>
              <w:left w:val="nil"/>
              <w:bottom w:val="single" w:sz="8" w:space="0" w:color="auto"/>
              <w:right w:val="single" w:sz="8" w:space="0" w:color="auto"/>
            </w:tcBorders>
            <w:shd w:val="clear" w:color="auto" w:fill="auto"/>
            <w:vAlign w:val="center"/>
          </w:tcPr>
          <w:p w:rsidR="00A91BC6" w:rsidRPr="00536E9A" w:rsidRDefault="003D4D6A" w:rsidP="00A91BC6">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10.597</w:t>
            </w:r>
          </w:p>
        </w:tc>
      </w:tr>
      <w:tr w:rsidR="00A91BC6" w:rsidRPr="00843880" w:rsidTr="00F86E24">
        <w:tc>
          <w:tcPr>
            <w:tcW w:w="2802" w:type="dxa"/>
            <w:shd w:val="clear" w:color="auto" w:fill="FFFFCC"/>
            <w:vAlign w:val="center"/>
          </w:tcPr>
          <w:p w:rsidR="00A91BC6" w:rsidRPr="00536E9A" w:rsidRDefault="00A91BC6" w:rsidP="00A91BC6">
            <w:pPr>
              <w:spacing w:line="240" w:lineRule="auto"/>
              <w:jc w:val="both"/>
              <w:rPr>
                <w:rFonts w:ascii="Times New Roman" w:hAnsi="Times New Roman" w:cs="Times New Roman"/>
                <w:b/>
                <w:bCs/>
                <w:sz w:val="20"/>
                <w:szCs w:val="20"/>
              </w:rPr>
            </w:pPr>
            <w:r w:rsidRPr="00536E9A">
              <w:rPr>
                <w:rFonts w:ascii="Times New Roman" w:hAnsi="Times New Roman" w:cs="Times New Roman"/>
                <w:b/>
                <w:bCs/>
                <w:sz w:val="20"/>
                <w:szCs w:val="20"/>
              </w:rPr>
              <w:t>Ukupno:</w:t>
            </w:r>
          </w:p>
        </w:tc>
        <w:tc>
          <w:tcPr>
            <w:tcW w:w="1276" w:type="dxa"/>
            <w:tcBorders>
              <w:top w:val="nil"/>
              <w:left w:val="nil"/>
              <w:bottom w:val="single" w:sz="8" w:space="0" w:color="auto"/>
              <w:right w:val="single" w:sz="8" w:space="0" w:color="auto"/>
            </w:tcBorders>
            <w:shd w:val="clear" w:color="000000" w:fill="FFFFCC"/>
            <w:vAlign w:val="center"/>
          </w:tcPr>
          <w:p w:rsidR="00A91BC6" w:rsidRPr="00536E9A" w:rsidRDefault="00A91BC6" w:rsidP="00A91BC6">
            <w:pPr>
              <w:spacing w:line="240" w:lineRule="auto"/>
              <w:jc w:val="right"/>
              <w:rPr>
                <w:rFonts w:ascii="Times New Roman" w:hAnsi="Times New Roman" w:cs="Times New Roman"/>
                <w:b/>
                <w:sz w:val="20"/>
                <w:szCs w:val="20"/>
              </w:rPr>
            </w:pPr>
            <w:r w:rsidRPr="00536E9A">
              <w:rPr>
                <w:rFonts w:ascii="Times New Roman" w:hAnsi="Times New Roman" w:cs="Times New Roman"/>
                <w:b/>
                <w:sz w:val="20"/>
                <w:szCs w:val="20"/>
              </w:rPr>
              <w:t>950.219</w:t>
            </w:r>
          </w:p>
        </w:tc>
        <w:tc>
          <w:tcPr>
            <w:tcW w:w="1276" w:type="dxa"/>
            <w:tcBorders>
              <w:top w:val="nil"/>
              <w:left w:val="nil"/>
              <w:bottom w:val="single" w:sz="8" w:space="0" w:color="auto"/>
              <w:right w:val="single" w:sz="8" w:space="0" w:color="auto"/>
            </w:tcBorders>
            <w:shd w:val="clear" w:color="000000" w:fill="FFFFCC"/>
            <w:vAlign w:val="center"/>
          </w:tcPr>
          <w:p w:rsidR="00A91BC6" w:rsidRPr="00536E9A" w:rsidRDefault="00A91BC6" w:rsidP="00A91BC6">
            <w:pPr>
              <w:spacing w:line="240" w:lineRule="auto"/>
              <w:jc w:val="right"/>
              <w:rPr>
                <w:rFonts w:ascii="Times New Roman" w:hAnsi="Times New Roman" w:cs="Times New Roman"/>
                <w:b/>
                <w:sz w:val="20"/>
                <w:szCs w:val="20"/>
              </w:rPr>
            </w:pPr>
            <w:r w:rsidRPr="00536E9A">
              <w:rPr>
                <w:rFonts w:ascii="Times New Roman" w:hAnsi="Times New Roman" w:cs="Times New Roman"/>
                <w:b/>
                <w:sz w:val="20"/>
                <w:szCs w:val="20"/>
              </w:rPr>
              <w:t>615.877</w:t>
            </w:r>
          </w:p>
        </w:tc>
        <w:tc>
          <w:tcPr>
            <w:tcW w:w="1276" w:type="dxa"/>
            <w:tcBorders>
              <w:top w:val="single" w:sz="8" w:space="0" w:color="auto"/>
              <w:left w:val="nil"/>
              <w:bottom w:val="single" w:sz="8" w:space="0" w:color="auto"/>
              <w:right w:val="single" w:sz="8" w:space="0" w:color="auto"/>
            </w:tcBorders>
            <w:shd w:val="clear" w:color="auto" w:fill="FFFFCC"/>
          </w:tcPr>
          <w:p w:rsidR="00A91BC6" w:rsidRPr="00536E9A" w:rsidRDefault="00A91BC6" w:rsidP="00A91BC6">
            <w:pPr>
              <w:spacing w:line="240" w:lineRule="auto"/>
              <w:jc w:val="right"/>
              <w:rPr>
                <w:rFonts w:ascii="Times New Roman" w:hAnsi="Times New Roman" w:cs="Times New Roman"/>
                <w:b/>
                <w:sz w:val="20"/>
                <w:szCs w:val="20"/>
              </w:rPr>
            </w:pPr>
            <w:r w:rsidRPr="00536E9A">
              <w:rPr>
                <w:rFonts w:ascii="Times New Roman" w:hAnsi="Times New Roman" w:cs="Times New Roman"/>
                <w:b/>
                <w:sz w:val="20"/>
                <w:szCs w:val="20"/>
              </w:rPr>
              <w:t>888.046</w:t>
            </w:r>
          </w:p>
        </w:tc>
        <w:tc>
          <w:tcPr>
            <w:tcW w:w="1201" w:type="dxa"/>
            <w:tcBorders>
              <w:top w:val="single" w:sz="8" w:space="0" w:color="auto"/>
              <w:left w:val="nil"/>
              <w:bottom w:val="single" w:sz="8" w:space="0" w:color="auto"/>
              <w:right w:val="single" w:sz="8" w:space="0" w:color="auto"/>
            </w:tcBorders>
            <w:shd w:val="clear" w:color="auto" w:fill="FFFFCC"/>
          </w:tcPr>
          <w:p w:rsidR="00A91BC6" w:rsidRPr="00536E9A" w:rsidRDefault="00A91BC6" w:rsidP="00A91BC6">
            <w:pPr>
              <w:spacing w:line="240" w:lineRule="auto"/>
              <w:jc w:val="right"/>
              <w:rPr>
                <w:rFonts w:ascii="Times New Roman" w:hAnsi="Times New Roman" w:cs="Times New Roman"/>
                <w:b/>
                <w:sz w:val="20"/>
                <w:szCs w:val="20"/>
              </w:rPr>
            </w:pPr>
            <w:r w:rsidRPr="00536E9A">
              <w:rPr>
                <w:rFonts w:ascii="Times New Roman" w:hAnsi="Times New Roman" w:cs="Times New Roman"/>
                <w:b/>
                <w:sz w:val="20"/>
                <w:szCs w:val="20"/>
              </w:rPr>
              <w:t>744.289</w:t>
            </w:r>
          </w:p>
        </w:tc>
        <w:tc>
          <w:tcPr>
            <w:tcW w:w="1350" w:type="dxa"/>
            <w:tcBorders>
              <w:top w:val="single" w:sz="8" w:space="0" w:color="auto"/>
              <w:left w:val="nil"/>
              <w:bottom w:val="single" w:sz="8" w:space="0" w:color="auto"/>
              <w:right w:val="single" w:sz="8" w:space="0" w:color="auto"/>
            </w:tcBorders>
            <w:shd w:val="clear" w:color="auto" w:fill="FFFFCC"/>
            <w:vAlign w:val="bottom"/>
          </w:tcPr>
          <w:p w:rsidR="00A91BC6" w:rsidRPr="00536E9A" w:rsidRDefault="003D4D6A" w:rsidP="00A91BC6">
            <w:pPr>
              <w:spacing w:line="240" w:lineRule="auto"/>
              <w:jc w:val="right"/>
              <w:rPr>
                <w:rFonts w:ascii="Times New Roman" w:hAnsi="Times New Roman" w:cs="Times New Roman"/>
                <w:b/>
                <w:sz w:val="20"/>
                <w:szCs w:val="20"/>
              </w:rPr>
            </w:pPr>
            <w:r w:rsidRPr="00536E9A">
              <w:rPr>
                <w:rFonts w:ascii="Times New Roman" w:hAnsi="Times New Roman" w:cs="Times New Roman"/>
                <w:b/>
                <w:sz w:val="20"/>
                <w:szCs w:val="20"/>
              </w:rPr>
              <w:t>886.296</w:t>
            </w:r>
          </w:p>
        </w:tc>
      </w:tr>
      <w:tr w:rsidR="00A91BC6" w:rsidRPr="00885BCD" w:rsidTr="00843880">
        <w:tc>
          <w:tcPr>
            <w:tcW w:w="2802" w:type="dxa"/>
            <w:shd w:val="clear" w:color="auto" w:fill="FFFFCC"/>
            <w:vAlign w:val="center"/>
          </w:tcPr>
          <w:p w:rsidR="00A91BC6" w:rsidRPr="00885BCD" w:rsidRDefault="00A91BC6" w:rsidP="00A91BC6">
            <w:pPr>
              <w:spacing w:line="240" w:lineRule="auto"/>
              <w:jc w:val="both"/>
              <w:rPr>
                <w:rFonts w:ascii="Times New Roman" w:hAnsi="Times New Roman" w:cs="Times New Roman"/>
                <w:b/>
                <w:bCs/>
                <w:sz w:val="20"/>
                <w:szCs w:val="20"/>
              </w:rPr>
            </w:pPr>
            <w:r w:rsidRPr="00885BCD">
              <w:rPr>
                <w:rFonts w:ascii="Times New Roman" w:hAnsi="Times New Roman" w:cs="Times New Roman"/>
                <w:b/>
                <w:bCs/>
                <w:sz w:val="20"/>
                <w:szCs w:val="20"/>
              </w:rPr>
              <w:t>Izdvajanja za Sveučilište 3% (+1% od 2023.)</w:t>
            </w:r>
          </w:p>
        </w:tc>
        <w:tc>
          <w:tcPr>
            <w:tcW w:w="1276" w:type="dxa"/>
            <w:shd w:val="clear" w:color="auto" w:fill="FFFFCC"/>
            <w:vAlign w:val="center"/>
          </w:tcPr>
          <w:p w:rsidR="00A91BC6" w:rsidRPr="00885BCD" w:rsidRDefault="00A91BC6" w:rsidP="00A91BC6">
            <w:pPr>
              <w:spacing w:line="240" w:lineRule="auto"/>
              <w:jc w:val="right"/>
              <w:rPr>
                <w:rFonts w:ascii="Times New Roman" w:hAnsi="Times New Roman" w:cs="Times New Roman"/>
                <w:b/>
                <w:sz w:val="20"/>
                <w:szCs w:val="20"/>
              </w:rPr>
            </w:pPr>
            <w:r w:rsidRPr="00885BCD">
              <w:rPr>
                <w:rFonts w:ascii="Times New Roman" w:hAnsi="Times New Roman" w:cs="Times New Roman"/>
                <w:b/>
                <w:sz w:val="20"/>
                <w:szCs w:val="20"/>
              </w:rPr>
              <w:t>27.466</w:t>
            </w:r>
          </w:p>
        </w:tc>
        <w:tc>
          <w:tcPr>
            <w:tcW w:w="1276" w:type="dxa"/>
            <w:shd w:val="clear" w:color="auto" w:fill="FFFFCC"/>
            <w:vAlign w:val="center"/>
          </w:tcPr>
          <w:p w:rsidR="00A91BC6" w:rsidRPr="00885BCD" w:rsidRDefault="00A91BC6" w:rsidP="00A91BC6">
            <w:pPr>
              <w:spacing w:line="240" w:lineRule="auto"/>
              <w:jc w:val="right"/>
              <w:rPr>
                <w:rFonts w:ascii="Times New Roman" w:hAnsi="Times New Roman" w:cs="Times New Roman"/>
                <w:b/>
                <w:sz w:val="20"/>
                <w:szCs w:val="20"/>
              </w:rPr>
            </w:pPr>
            <w:r w:rsidRPr="00885BCD">
              <w:rPr>
                <w:rFonts w:ascii="Times New Roman" w:hAnsi="Times New Roman" w:cs="Times New Roman"/>
                <w:b/>
                <w:sz w:val="20"/>
                <w:szCs w:val="20"/>
              </w:rPr>
              <w:t>17.911</w:t>
            </w:r>
          </w:p>
        </w:tc>
        <w:tc>
          <w:tcPr>
            <w:tcW w:w="1276" w:type="dxa"/>
            <w:shd w:val="clear" w:color="auto" w:fill="FFFFCC"/>
            <w:vAlign w:val="center"/>
          </w:tcPr>
          <w:p w:rsidR="00A91BC6" w:rsidRPr="00885BCD" w:rsidRDefault="00A91BC6" w:rsidP="00A91BC6">
            <w:pPr>
              <w:spacing w:line="240" w:lineRule="auto"/>
              <w:jc w:val="right"/>
              <w:rPr>
                <w:rFonts w:ascii="Times New Roman" w:hAnsi="Times New Roman" w:cs="Times New Roman"/>
                <w:b/>
                <w:sz w:val="20"/>
                <w:szCs w:val="20"/>
              </w:rPr>
            </w:pPr>
            <w:r w:rsidRPr="00885BCD">
              <w:rPr>
                <w:rFonts w:ascii="Times New Roman" w:hAnsi="Times New Roman" w:cs="Times New Roman"/>
                <w:b/>
                <w:sz w:val="20"/>
                <w:szCs w:val="20"/>
              </w:rPr>
              <w:t>21.554</w:t>
            </w:r>
          </w:p>
        </w:tc>
        <w:tc>
          <w:tcPr>
            <w:tcW w:w="1201" w:type="dxa"/>
            <w:shd w:val="clear" w:color="auto" w:fill="FFFFCC"/>
            <w:vAlign w:val="center"/>
          </w:tcPr>
          <w:p w:rsidR="00A91BC6" w:rsidRPr="00885BCD" w:rsidRDefault="00A91BC6" w:rsidP="00A91BC6">
            <w:pPr>
              <w:spacing w:line="240" w:lineRule="auto"/>
              <w:jc w:val="right"/>
              <w:rPr>
                <w:rFonts w:ascii="Times New Roman" w:hAnsi="Times New Roman" w:cs="Times New Roman"/>
                <w:b/>
                <w:sz w:val="20"/>
                <w:szCs w:val="20"/>
              </w:rPr>
            </w:pPr>
            <w:r w:rsidRPr="00885BCD">
              <w:rPr>
                <w:rFonts w:ascii="Times New Roman" w:hAnsi="Times New Roman" w:cs="Times New Roman"/>
                <w:b/>
                <w:sz w:val="20"/>
                <w:szCs w:val="20"/>
              </w:rPr>
              <w:t>22.895</w:t>
            </w:r>
          </w:p>
        </w:tc>
        <w:tc>
          <w:tcPr>
            <w:tcW w:w="1350" w:type="dxa"/>
            <w:shd w:val="clear" w:color="auto" w:fill="FFFFCC"/>
            <w:vAlign w:val="center"/>
          </w:tcPr>
          <w:p w:rsidR="00A91BC6" w:rsidRPr="00885BCD" w:rsidRDefault="00A91BC6" w:rsidP="00A91BC6">
            <w:pPr>
              <w:spacing w:line="240" w:lineRule="auto"/>
              <w:jc w:val="right"/>
              <w:rPr>
                <w:rFonts w:ascii="Times New Roman" w:hAnsi="Times New Roman" w:cs="Times New Roman"/>
                <w:b/>
                <w:sz w:val="20"/>
                <w:szCs w:val="20"/>
              </w:rPr>
            </w:pPr>
            <w:r w:rsidRPr="00885BCD">
              <w:rPr>
                <w:rFonts w:ascii="Times New Roman" w:hAnsi="Times New Roman" w:cs="Times New Roman"/>
                <w:b/>
                <w:sz w:val="20"/>
                <w:szCs w:val="20"/>
              </w:rPr>
              <w:t>28.096</w:t>
            </w:r>
          </w:p>
        </w:tc>
      </w:tr>
      <w:bookmarkEnd w:id="0"/>
    </w:tbl>
    <w:p w:rsidR="00843880" w:rsidRPr="00885BCD" w:rsidRDefault="00843880" w:rsidP="00843880">
      <w:pPr>
        <w:spacing w:line="240" w:lineRule="auto"/>
        <w:jc w:val="both"/>
        <w:rPr>
          <w:rFonts w:ascii="Times New Roman" w:hAnsi="Times New Roman" w:cs="Times New Roman"/>
          <w:b/>
          <w:sz w:val="20"/>
          <w:szCs w:val="20"/>
        </w:rPr>
      </w:pPr>
    </w:p>
    <w:p w:rsidR="003D4D6A" w:rsidRPr="00843880" w:rsidRDefault="003D4D6A" w:rsidP="00843880">
      <w:pPr>
        <w:spacing w:line="240" w:lineRule="auto"/>
        <w:jc w:val="both"/>
        <w:rPr>
          <w:rFonts w:ascii="Times New Roman" w:hAnsi="Times New Roman" w:cs="Times New Roman"/>
          <w:b/>
          <w:sz w:val="24"/>
          <w:szCs w:val="24"/>
        </w:rPr>
      </w:pPr>
      <w:r>
        <w:rPr>
          <w:noProof/>
        </w:rPr>
        <w:lastRenderedPageBreak/>
        <w:drawing>
          <wp:inline distT="0" distB="0" distL="0" distR="0" wp14:anchorId="4A47BDAB" wp14:editId="6874D95A">
            <wp:extent cx="5760720" cy="3140710"/>
            <wp:effectExtent l="0" t="0" r="11430" b="2540"/>
            <wp:docPr id="6" name="Grafikon 6">
              <a:extLst xmlns:a="http://schemas.openxmlformats.org/drawingml/2006/main">
                <a:ext uri="{FF2B5EF4-FFF2-40B4-BE49-F238E27FC236}">
                  <a16:creationId xmlns:a16="http://schemas.microsoft.com/office/drawing/2014/main" id="{DB5EB85B-6A52-4199-877D-7BED949B8D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4D6A" w:rsidRDefault="003D4D6A" w:rsidP="00843880">
      <w:pPr>
        <w:spacing w:line="240" w:lineRule="auto"/>
        <w:jc w:val="both"/>
        <w:rPr>
          <w:rFonts w:ascii="Times New Roman" w:hAnsi="Times New Roman" w:cs="Times New Roman"/>
          <w:b/>
          <w:sz w:val="24"/>
          <w:szCs w:val="24"/>
          <w:lang w:val="x-none"/>
        </w:rPr>
      </w:pPr>
    </w:p>
    <w:p w:rsidR="00843880" w:rsidRPr="00843880" w:rsidRDefault="00843880" w:rsidP="00843880">
      <w:pPr>
        <w:spacing w:line="240" w:lineRule="auto"/>
        <w:jc w:val="both"/>
        <w:rPr>
          <w:rFonts w:ascii="Times New Roman" w:hAnsi="Times New Roman" w:cs="Times New Roman"/>
          <w:sz w:val="24"/>
          <w:szCs w:val="24"/>
          <w:lang w:val="x-none"/>
        </w:rPr>
      </w:pPr>
      <w:r w:rsidRPr="00843880">
        <w:rPr>
          <w:rFonts w:ascii="Times New Roman" w:hAnsi="Times New Roman" w:cs="Times New Roman"/>
          <w:b/>
          <w:sz w:val="24"/>
          <w:szCs w:val="24"/>
          <w:lang w:val="x-none"/>
        </w:rPr>
        <w:t>Tablica 1.</w:t>
      </w:r>
      <w:r w:rsidR="003A103A">
        <w:rPr>
          <w:rFonts w:ascii="Times New Roman" w:hAnsi="Times New Roman" w:cs="Times New Roman"/>
          <w:b/>
          <w:sz w:val="24"/>
          <w:szCs w:val="24"/>
        </w:rPr>
        <w:t>2</w:t>
      </w:r>
      <w:r w:rsidRPr="00843880">
        <w:rPr>
          <w:rFonts w:ascii="Times New Roman" w:hAnsi="Times New Roman" w:cs="Times New Roman"/>
          <w:b/>
          <w:sz w:val="24"/>
          <w:szCs w:val="24"/>
          <w:lang w:val="x-none"/>
        </w:rPr>
        <w:t>. Struktura prihoda Centra za izobrazbu pomoraca</w: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984"/>
        <w:gridCol w:w="1418"/>
      </w:tblGrid>
      <w:tr w:rsidR="00752573" w:rsidRPr="00752573" w:rsidTr="00843880">
        <w:tc>
          <w:tcPr>
            <w:tcW w:w="5637" w:type="dxa"/>
            <w:tcBorders>
              <w:top w:val="single" w:sz="4" w:space="0" w:color="auto"/>
              <w:left w:val="single" w:sz="4" w:space="0" w:color="auto"/>
              <w:bottom w:val="single" w:sz="4" w:space="0" w:color="auto"/>
              <w:right w:val="single" w:sz="4" w:space="0" w:color="auto"/>
            </w:tcBorders>
            <w:shd w:val="clear" w:color="auto" w:fill="FFFFCC"/>
          </w:tcPr>
          <w:p w:rsidR="00752573" w:rsidRPr="00536E9A" w:rsidRDefault="00752573" w:rsidP="00752573">
            <w:pPr>
              <w:spacing w:line="240" w:lineRule="auto"/>
              <w:jc w:val="both"/>
              <w:rPr>
                <w:rFonts w:ascii="Times New Roman" w:hAnsi="Times New Roman" w:cs="Times New Roman"/>
                <w:b/>
                <w:sz w:val="20"/>
                <w:szCs w:val="20"/>
              </w:rPr>
            </w:pPr>
            <w:r w:rsidRPr="00536E9A">
              <w:rPr>
                <w:rFonts w:ascii="Times New Roman" w:hAnsi="Times New Roman" w:cs="Times New Roman"/>
                <w:b/>
                <w:sz w:val="20"/>
                <w:szCs w:val="20"/>
              </w:rPr>
              <w:t>Opis</w:t>
            </w:r>
          </w:p>
        </w:tc>
        <w:tc>
          <w:tcPr>
            <w:tcW w:w="1984" w:type="dxa"/>
            <w:tcBorders>
              <w:top w:val="single" w:sz="4" w:space="0" w:color="auto"/>
              <w:left w:val="single" w:sz="4" w:space="0" w:color="auto"/>
              <w:bottom w:val="single" w:sz="4" w:space="0" w:color="auto"/>
              <w:right w:val="single" w:sz="4" w:space="0" w:color="auto"/>
            </w:tcBorders>
            <w:shd w:val="clear" w:color="auto" w:fill="FFFFCC"/>
          </w:tcPr>
          <w:p w:rsidR="00752573" w:rsidRPr="00536E9A" w:rsidRDefault="00752573" w:rsidP="00752573">
            <w:pPr>
              <w:spacing w:line="240" w:lineRule="auto"/>
              <w:jc w:val="right"/>
              <w:rPr>
                <w:rFonts w:ascii="Times New Roman" w:hAnsi="Times New Roman" w:cs="Times New Roman"/>
                <w:b/>
                <w:sz w:val="20"/>
                <w:szCs w:val="20"/>
              </w:rPr>
            </w:pPr>
            <w:r w:rsidRPr="00536E9A">
              <w:rPr>
                <w:rFonts w:ascii="Times New Roman" w:hAnsi="Times New Roman" w:cs="Times New Roman"/>
                <w:b/>
                <w:sz w:val="20"/>
                <w:szCs w:val="20"/>
              </w:rPr>
              <w:t>2022.</w:t>
            </w:r>
          </w:p>
        </w:tc>
        <w:tc>
          <w:tcPr>
            <w:tcW w:w="1418" w:type="dxa"/>
            <w:tcBorders>
              <w:top w:val="single" w:sz="4" w:space="0" w:color="auto"/>
              <w:left w:val="single" w:sz="4" w:space="0" w:color="auto"/>
              <w:bottom w:val="single" w:sz="4" w:space="0" w:color="auto"/>
              <w:right w:val="single" w:sz="4" w:space="0" w:color="auto"/>
            </w:tcBorders>
            <w:shd w:val="clear" w:color="auto" w:fill="FFFFCC"/>
          </w:tcPr>
          <w:p w:rsidR="00752573" w:rsidRPr="00536E9A" w:rsidRDefault="00752573" w:rsidP="00752573">
            <w:pPr>
              <w:spacing w:line="240" w:lineRule="auto"/>
              <w:jc w:val="right"/>
              <w:rPr>
                <w:rFonts w:ascii="Times New Roman" w:hAnsi="Times New Roman" w:cs="Times New Roman"/>
                <w:b/>
                <w:sz w:val="20"/>
                <w:szCs w:val="20"/>
              </w:rPr>
            </w:pPr>
            <w:r w:rsidRPr="00536E9A">
              <w:rPr>
                <w:rFonts w:ascii="Times New Roman" w:hAnsi="Times New Roman" w:cs="Times New Roman"/>
                <w:b/>
                <w:sz w:val="20"/>
                <w:szCs w:val="20"/>
              </w:rPr>
              <w:t>2023.</w:t>
            </w:r>
          </w:p>
        </w:tc>
      </w:tr>
      <w:tr w:rsidR="00752573" w:rsidRPr="00752573" w:rsidTr="00843880">
        <w:tc>
          <w:tcPr>
            <w:tcW w:w="5637" w:type="dxa"/>
            <w:tcBorders>
              <w:top w:val="single" w:sz="4" w:space="0" w:color="auto"/>
              <w:left w:val="single" w:sz="4" w:space="0" w:color="auto"/>
              <w:bottom w:val="single" w:sz="4" w:space="0" w:color="auto"/>
              <w:right w:val="single" w:sz="4" w:space="0" w:color="auto"/>
            </w:tcBorders>
          </w:tcPr>
          <w:p w:rsidR="00752573" w:rsidRPr="00536E9A" w:rsidRDefault="00752573" w:rsidP="00752573">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CIP fizičke osobe</w:t>
            </w:r>
          </w:p>
        </w:tc>
        <w:tc>
          <w:tcPr>
            <w:tcW w:w="1984" w:type="dxa"/>
            <w:tcBorders>
              <w:top w:val="single" w:sz="4" w:space="0" w:color="auto"/>
              <w:left w:val="single" w:sz="4" w:space="0" w:color="auto"/>
              <w:bottom w:val="single" w:sz="4" w:space="0" w:color="auto"/>
              <w:right w:val="single" w:sz="4" w:space="0" w:color="auto"/>
            </w:tcBorders>
          </w:tcPr>
          <w:p w:rsidR="00752573" w:rsidRPr="00536E9A" w:rsidRDefault="00752573" w:rsidP="0075257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20.694</w:t>
            </w:r>
          </w:p>
        </w:tc>
        <w:tc>
          <w:tcPr>
            <w:tcW w:w="1418" w:type="dxa"/>
            <w:tcBorders>
              <w:top w:val="single" w:sz="4" w:space="0" w:color="auto"/>
              <w:left w:val="single" w:sz="4" w:space="0" w:color="auto"/>
              <w:bottom w:val="single" w:sz="4" w:space="0" w:color="auto"/>
              <w:right w:val="single" w:sz="4" w:space="0" w:color="auto"/>
            </w:tcBorders>
          </w:tcPr>
          <w:p w:rsidR="00752573" w:rsidRPr="00536E9A" w:rsidRDefault="005D01DD" w:rsidP="0075257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26.689</w:t>
            </w:r>
          </w:p>
        </w:tc>
      </w:tr>
      <w:tr w:rsidR="00752573" w:rsidRPr="00752573" w:rsidTr="00843880">
        <w:tc>
          <w:tcPr>
            <w:tcW w:w="5637" w:type="dxa"/>
            <w:tcBorders>
              <w:top w:val="single" w:sz="4" w:space="0" w:color="auto"/>
              <w:left w:val="single" w:sz="4" w:space="0" w:color="auto"/>
              <w:bottom w:val="single" w:sz="4" w:space="0" w:color="auto"/>
              <w:right w:val="single" w:sz="4" w:space="0" w:color="auto"/>
            </w:tcBorders>
          </w:tcPr>
          <w:p w:rsidR="00752573" w:rsidRPr="00536E9A" w:rsidRDefault="00752573" w:rsidP="00752573">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CIP plaćanje karticama</w:t>
            </w:r>
          </w:p>
        </w:tc>
        <w:tc>
          <w:tcPr>
            <w:tcW w:w="1984" w:type="dxa"/>
            <w:tcBorders>
              <w:top w:val="single" w:sz="4" w:space="0" w:color="auto"/>
              <w:left w:val="single" w:sz="4" w:space="0" w:color="auto"/>
              <w:bottom w:val="single" w:sz="4" w:space="0" w:color="auto"/>
              <w:right w:val="single" w:sz="4" w:space="0" w:color="auto"/>
            </w:tcBorders>
          </w:tcPr>
          <w:p w:rsidR="00752573" w:rsidRPr="00536E9A" w:rsidRDefault="00752573" w:rsidP="0075257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37.895</w:t>
            </w:r>
          </w:p>
        </w:tc>
        <w:tc>
          <w:tcPr>
            <w:tcW w:w="1418" w:type="dxa"/>
            <w:tcBorders>
              <w:top w:val="single" w:sz="4" w:space="0" w:color="auto"/>
              <w:left w:val="single" w:sz="4" w:space="0" w:color="auto"/>
              <w:bottom w:val="single" w:sz="4" w:space="0" w:color="auto"/>
              <w:right w:val="single" w:sz="4" w:space="0" w:color="auto"/>
            </w:tcBorders>
          </w:tcPr>
          <w:p w:rsidR="00752573" w:rsidRPr="00536E9A" w:rsidRDefault="003D4D6A" w:rsidP="0075257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42.008</w:t>
            </w:r>
          </w:p>
        </w:tc>
      </w:tr>
      <w:tr w:rsidR="00752573" w:rsidRPr="00752573" w:rsidTr="00843880">
        <w:trPr>
          <w:trHeight w:val="176"/>
        </w:trPr>
        <w:tc>
          <w:tcPr>
            <w:tcW w:w="5637" w:type="dxa"/>
          </w:tcPr>
          <w:p w:rsidR="00752573" w:rsidRPr="00536E9A" w:rsidRDefault="00752573" w:rsidP="00752573">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CIP potvrdnice</w:t>
            </w:r>
          </w:p>
        </w:tc>
        <w:tc>
          <w:tcPr>
            <w:tcW w:w="1984" w:type="dxa"/>
          </w:tcPr>
          <w:p w:rsidR="00752573" w:rsidRPr="00536E9A" w:rsidRDefault="00752573" w:rsidP="0075257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741</w:t>
            </w:r>
          </w:p>
        </w:tc>
        <w:tc>
          <w:tcPr>
            <w:tcW w:w="1418" w:type="dxa"/>
          </w:tcPr>
          <w:p w:rsidR="00752573" w:rsidRPr="00536E9A" w:rsidRDefault="003D4D6A" w:rsidP="0075257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624</w:t>
            </w:r>
          </w:p>
        </w:tc>
      </w:tr>
      <w:tr w:rsidR="00752573" w:rsidRPr="00752573" w:rsidTr="00843880">
        <w:tc>
          <w:tcPr>
            <w:tcW w:w="5637" w:type="dxa"/>
            <w:tcBorders>
              <w:bottom w:val="single" w:sz="4" w:space="0" w:color="auto"/>
            </w:tcBorders>
          </w:tcPr>
          <w:p w:rsidR="00752573" w:rsidRPr="00536E9A" w:rsidRDefault="00752573" w:rsidP="00752573">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 xml:space="preserve">CIP tečaj pravne osobe </w:t>
            </w:r>
          </w:p>
        </w:tc>
        <w:tc>
          <w:tcPr>
            <w:tcW w:w="1984" w:type="dxa"/>
            <w:tcBorders>
              <w:bottom w:val="single" w:sz="4" w:space="0" w:color="auto"/>
            </w:tcBorders>
          </w:tcPr>
          <w:p w:rsidR="00752573" w:rsidRPr="00536E9A" w:rsidRDefault="00752573" w:rsidP="0075257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137.543</w:t>
            </w:r>
          </w:p>
        </w:tc>
        <w:tc>
          <w:tcPr>
            <w:tcW w:w="1418" w:type="dxa"/>
            <w:tcBorders>
              <w:bottom w:val="single" w:sz="4" w:space="0" w:color="auto"/>
            </w:tcBorders>
          </w:tcPr>
          <w:p w:rsidR="00752573" w:rsidRPr="00536E9A" w:rsidRDefault="003D4D6A" w:rsidP="00752573">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166.691</w:t>
            </w:r>
          </w:p>
        </w:tc>
      </w:tr>
      <w:tr w:rsidR="00752573" w:rsidRPr="00752573" w:rsidTr="00843880">
        <w:tc>
          <w:tcPr>
            <w:tcW w:w="5637" w:type="dxa"/>
            <w:shd w:val="clear" w:color="auto" w:fill="FFFFCC"/>
          </w:tcPr>
          <w:p w:rsidR="00752573" w:rsidRPr="00536E9A" w:rsidRDefault="00752573" w:rsidP="00752573">
            <w:pPr>
              <w:spacing w:line="240" w:lineRule="auto"/>
              <w:jc w:val="both"/>
              <w:rPr>
                <w:rFonts w:ascii="Times New Roman" w:hAnsi="Times New Roman" w:cs="Times New Roman"/>
                <w:b/>
                <w:sz w:val="20"/>
                <w:szCs w:val="20"/>
              </w:rPr>
            </w:pPr>
            <w:r w:rsidRPr="00536E9A">
              <w:rPr>
                <w:rFonts w:ascii="Times New Roman" w:hAnsi="Times New Roman" w:cs="Times New Roman"/>
                <w:b/>
                <w:sz w:val="20"/>
                <w:szCs w:val="20"/>
              </w:rPr>
              <w:t>UKUPNO:</w:t>
            </w:r>
          </w:p>
        </w:tc>
        <w:tc>
          <w:tcPr>
            <w:tcW w:w="1984" w:type="dxa"/>
            <w:shd w:val="clear" w:color="auto" w:fill="FFFFCC"/>
          </w:tcPr>
          <w:p w:rsidR="00752573" w:rsidRPr="00536E9A" w:rsidRDefault="00752573" w:rsidP="00752573">
            <w:pPr>
              <w:spacing w:line="240" w:lineRule="auto"/>
              <w:jc w:val="right"/>
              <w:rPr>
                <w:rFonts w:ascii="Times New Roman" w:hAnsi="Times New Roman" w:cs="Times New Roman"/>
                <w:b/>
                <w:sz w:val="20"/>
                <w:szCs w:val="20"/>
              </w:rPr>
            </w:pPr>
            <w:r w:rsidRPr="00536E9A">
              <w:rPr>
                <w:rFonts w:ascii="Times New Roman" w:hAnsi="Times New Roman" w:cs="Times New Roman"/>
                <w:b/>
                <w:sz w:val="20"/>
                <w:szCs w:val="20"/>
              </w:rPr>
              <w:t>196.873</w:t>
            </w:r>
          </w:p>
        </w:tc>
        <w:tc>
          <w:tcPr>
            <w:tcW w:w="1418" w:type="dxa"/>
            <w:shd w:val="clear" w:color="auto" w:fill="FFFFCC"/>
          </w:tcPr>
          <w:p w:rsidR="00752573" w:rsidRPr="00536E9A" w:rsidRDefault="003D4D6A" w:rsidP="00752573">
            <w:pPr>
              <w:spacing w:line="240" w:lineRule="auto"/>
              <w:jc w:val="right"/>
              <w:rPr>
                <w:rFonts w:ascii="Times New Roman" w:hAnsi="Times New Roman" w:cs="Times New Roman"/>
                <w:b/>
                <w:sz w:val="20"/>
                <w:szCs w:val="20"/>
              </w:rPr>
            </w:pPr>
            <w:r w:rsidRPr="00536E9A">
              <w:rPr>
                <w:rFonts w:ascii="Times New Roman" w:hAnsi="Times New Roman" w:cs="Times New Roman"/>
                <w:b/>
                <w:sz w:val="20"/>
                <w:szCs w:val="20"/>
              </w:rPr>
              <w:t>236.012</w:t>
            </w:r>
          </w:p>
        </w:tc>
      </w:tr>
    </w:tbl>
    <w:p w:rsidR="00843880" w:rsidRPr="00843880" w:rsidRDefault="00843880" w:rsidP="00843880">
      <w:pPr>
        <w:spacing w:line="240" w:lineRule="auto"/>
        <w:jc w:val="both"/>
        <w:rPr>
          <w:rFonts w:ascii="Times New Roman" w:hAnsi="Times New Roman" w:cs="Times New Roman"/>
          <w:b/>
          <w:sz w:val="24"/>
          <w:szCs w:val="24"/>
        </w:rPr>
      </w:pPr>
    </w:p>
    <w:p w:rsidR="00843880" w:rsidRPr="00843880" w:rsidRDefault="00843880" w:rsidP="00843880">
      <w:pPr>
        <w:spacing w:line="240" w:lineRule="auto"/>
        <w:jc w:val="both"/>
        <w:rPr>
          <w:rFonts w:ascii="Times New Roman" w:hAnsi="Times New Roman" w:cs="Times New Roman"/>
          <w:sz w:val="24"/>
          <w:szCs w:val="24"/>
        </w:rPr>
      </w:pPr>
      <w:r w:rsidRPr="00843880">
        <w:rPr>
          <w:rFonts w:ascii="Times New Roman" w:hAnsi="Times New Roman" w:cs="Times New Roman"/>
          <w:b/>
          <w:sz w:val="24"/>
          <w:szCs w:val="24"/>
        </w:rPr>
        <w:t xml:space="preserve">PRIHODI ZA POSEBNE NAMJENE </w:t>
      </w:r>
      <w:r w:rsidRPr="00843880">
        <w:rPr>
          <w:rFonts w:ascii="Times New Roman" w:hAnsi="Times New Roman" w:cs="Times New Roman"/>
          <w:sz w:val="24"/>
          <w:szCs w:val="24"/>
        </w:rPr>
        <w:t xml:space="preserve">sastoje se od školarina i participacija studenata u troškovima studija (upisnine, diplome, uvjerenja i sl.), prihoda od izbora u znanstveno nastavna zvanja, zakasnina i ostalih prihoda. </w:t>
      </w:r>
    </w:p>
    <w:p w:rsidR="00843880" w:rsidRDefault="00843880" w:rsidP="00843880">
      <w:pPr>
        <w:spacing w:line="240" w:lineRule="auto"/>
        <w:jc w:val="both"/>
        <w:rPr>
          <w:rFonts w:ascii="Times New Roman" w:hAnsi="Times New Roman" w:cs="Times New Roman"/>
          <w:sz w:val="24"/>
          <w:szCs w:val="24"/>
          <w:lang w:val="x-none"/>
        </w:rPr>
      </w:pPr>
      <w:r w:rsidRPr="00843880">
        <w:rPr>
          <w:rFonts w:ascii="Times New Roman" w:hAnsi="Times New Roman" w:cs="Times New Roman"/>
          <w:sz w:val="24"/>
          <w:szCs w:val="24"/>
        </w:rPr>
        <w:t>Najznačajniji</w:t>
      </w:r>
      <w:r w:rsidRPr="00843880">
        <w:rPr>
          <w:rFonts w:ascii="Times New Roman" w:hAnsi="Times New Roman" w:cs="Times New Roman"/>
          <w:b/>
          <w:sz w:val="24"/>
          <w:szCs w:val="24"/>
        </w:rPr>
        <w:t xml:space="preserve"> </w:t>
      </w:r>
      <w:r w:rsidRPr="00843880">
        <w:rPr>
          <w:rFonts w:ascii="Times New Roman" w:hAnsi="Times New Roman" w:cs="Times New Roman"/>
          <w:sz w:val="24"/>
          <w:szCs w:val="24"/>
        </w:rPr>
        <w:t>prihodi za posebne namjene su</w:t>
      </w:r>
      <w:r w:rsidRPr="00843880">
        <w:rPr>
          <w:rFonts w:ascii="Times New Roman" w:hAnsi="Times New Roman" w:cs="Times New Roman"/>
          <w:b/>
          <w:sz w:val="24"/>
          <w:szCs w:val="24"/>
        </w:rPr>
        <w:t xml:space="preserve"> prihodi od školarina i </w:t>
      </w:r>
      <w:r w:rsidRPr="00843880">
        <w:rPr>
          <w:rFonts w:ascii="Times New Roman" w:hAnsi="Times New Roman" w:cs="Times New Roman"/>
          <w:sz w:val="24"/>
          <w:szCs w:val="24"/>
        </w:rPr>
        <w:t xml:space="preserve">ostvareni su u  manjem iznosu u odnosu na prethodnu godinu te iznose </w:t>
      </w:r>
      <w:r w:rsidR="003A103A">
        <w:rPr>
          <w:rFonts w:ascii="Times New Roman" w:hAnsi="Times New Roman" w:cs="Times New Roman"/>
          <w:sz w:val="24"/>
          <w:szCs w:val="24"/>
        </w:rPr>
        <w:t>664.351 EUR</w:t>
      </w:r>
      <w:r w:rsidRPr="00843880">
        <w:rPr>
          <w:rFonts w:ascii="Times New Roman" w:hAnsi="Times New Roman" w:cs="Times New Roman"/>
          <w:sz w:val="24"/>
          <w:szCs w:val="24"/>
        </w:rPr>
        <w:t xml:space="preserve">. </w:t>
      </w:r>
      <w:r w:rsidRPr="00843880">
        <w:rPr>
          <w:rFonts w:ascii="Times New Roman" w:hAnsi="Times New Roman" w:cs="Times New Roman"/>
          <w:sz w:val="24"/>
          <w:szCs w:val="24"/>
          <w:lang w:val="x-none"/>
        </w:rPr>
        <w:t xml:space="preserve">Prihodi od školarina razrađeni su detaljnije </w:t>
      </w:r>
      <w:r w:rsidRPr="00843880">
        <w:rPr>
          <w:rFonts w:ascii="Times New Roman" w:hAnsi="Times New Roman" w:cs="Times New Roman"/>
          <w:sz w:val="24"/>
          <w:szCs w:val="24"/>
        </w:rPr>
        <w:t>u tablici 1.</w:t>
      </w:r>
      <w:r w:rsidR="003A103A">
        <w:rPr>
          <w:rFonts w:ascii="Times New Roman" w:hAnsi="Times New Roman" w:cs="Times New Roman"/>
          <w:sz w:val="24"/>
          <w:szCs w:val="24"/>
        </w:rPr>
        <w:t>3</w:t>
      </w:r>
      <w:r w:rsidRPr="00843880">
        <w:rPr>
          <w:rFonts w:ascii="Times New Roman" w:hAnsi="Times New Roman" w:cs="Times New Roman"/>
          <w:sz w:val="24"/>
          <w:szCs w:val="24"/>
        </w:rPr>
        <w:t>.</w:t>
      </w:r>
      <w:r w:rsidRPr="00843880">
        <w:rPr>
          <w:rFonts w:ascii="Times New Roman" w:hAnsi="Times New Roman" w:cs="Times New Roman"/>
          <w:sz w:val="24"/>
          <w:szCs w:val="24"/>
          <w:lang w:val="x-none"/>
        </w:rPr>
        <w:t xml:space="preserve">                        </w:t>
      </w:r>
    </w:p>
    <w:p w:rsidR="00843880" w:rsidRPr="00843880" w:rsidRDefault="00843880" w:rsidP="00843880">
      <w:pPr>
        <w:spacing w:line="240" w:lineRule="auto"/>
        <w:jc w:val="both"/>
        <w:rPr>
          <w:rFonts w:ascii="Times New Roman" w:hAnsi="Times New Roman" w:cs="Times New Roman"/>
          <w:sz w:val="24"/>
          <w:szCs w:val="24"/>
          <w:lang w:val="x-none"/>
        </w:rPr>
      </w:pPr>
      <w:r w:rsidRPr="00843880">
        <w:rPr>
          <w:rFonts w:ascii="Times New Roman" w:hAnsi="Times New Roman" w:cs="Times New Roman"/>
          <w:sz w:val="24"/>
          <w:szCs w:val="24"/>
          <w:lang w:val="x-none"/>
        </w:rPr>
        <w:t xml:space="preserve">                                                                   </w:t>
      </w:r>
    </w:p>
    <w:p w:rsidR="00843880" w:rsidRPr="00843880" w:rsidRDefault="00843880" w:rsidP="00843880">
      <w:pPr>
        <w:spacing w:line="240" w:lineRule="auto"/>
        <w:jc w:val="both"/>
        <w:rPr>
          <w:rFonts w:ascii="Times New Roman" w:hAnsi="Times New Roman" w:cs="Times New Roman"/>
          <w:b/>
          <w:sz w:val="24"/>
          <w:szCs w:val="24"/>
          <w:lang w:val="x-none"/>
        </w:rPr>
      </w:pPr>
      <w:r w:rsidRPr="00843880">
        <w:rPr>
          <w:rFonts w:ascii="Times New Roman" w:hAnsi="Times New Roman" w:cs="Times New Roman"/>
          <w:sz w:val="24"/>
          <w:szCs w:val="24"/>
          <w:lang w:val="x-none"/>
        </w:rPr>
        <w:t xml:space="preserve">              </w:t>
      </w:r>
      <w:r w:rsidRPr="00843880">
        <w:rPr>
          <w:rFonts w:ascii="Times New Roman" w:hAnsi="Times New Roman" w:cs="Times New Roman"/>
          <w:b/>
          <w:sz w:val="24"/>
          <w:szCs w:val="24"/>
          <w:lang w:val="x-none"/>
        </w:rPr>
        <w:t>Tablica 1</w:t>
      </w:r>
      <w:r w:rsidRPr="00843880">
        <w:rPr>
          <w:rFonts w:ascii="Times New Roman" w:hAnsi="Times New Roman" w:cs="Times New Roman"/>
          <w:b/>
          <w:sz w:val="24"/>
          <w:szCs w:val="24"/>
        </w:rPr>
        <w:t>.</w:t>
      </w:r>
      <w:r w:rsidR="003A103A">
        <w:rPr>
          <w:rFonts w:ascii="Times New Roman" w:hAnsi="Times New Roman" w:cs="Times New Roman"/>
          <w:b/>
          <w:sz w:val="24"/>
          <w:szCs w:val="24"/>
        </w:rPr>
        <w:t>3</w:t>
      </w:r>
      <w:r w:rsidRPr="00843880">
        <w:rPr>
          <w:rFonts w:ascii="Times New Roman" w:hAnsi="Times New Roman" w:cs="Times New Roman"/>
          <w:b/>
          <w:sz w:val="24"/>
          <w:szCs w:val="24"/>
        </w:rPr>
        <w:t>.</w:t>
      </w:r>
      <w:r w:rsidRPr="00843880">
        <w:rPr>
          <w:rFonts w:ascii="Times New Roman" w:hAnsi="Times New Roman" w:cs="Times New Roman"/>
          <w:b/>
          <w:sz w:val="24"/>
          <w:szCs w:val="24"/>
          <w:lang w:val="x-none"/>
        </w:rPr>
        <w:t xml:space="preserve"> Naplaćene školarine </w:t>
      </w:r>
      <w:r w:rsidRPr="00843880">
        <w:rPr>
          <w:rFonts w:ascii="Times New Roman" w:hAnsi="Times New Roman" w:cs="Times New Roman"/>
          <w:b/>
          <w:sz w:val="24"/>
          <w:szCs w:val="24"/>
        </w:rPr>
        <w:t>201</w:t>
      </w:r>
      <w:r w:rsidR="00C34087">
        <w:rPr>
          <w:rFonts w:ascii="Times New Roman" w:hAnsi="Times New Roman" w:cs="Times New Roman"/>
          <w:b/>
          <w:sz w:val="24"/>
          <w:szCs w:val="24"/>
        </w:rPr>
        <w:t>9</w:t>
      </w:r>
      <w:r w:rsidRPr="00843880">
        <w:rPr>
          <w:rFonts w:ascii="Times New Roman" w:hAnsi="Times New Roman" w:cs="Times New Roman"/>
          <w:b/>
          <w:sz w:val="24"/>
          <w:szCs w:val="24"/>
        </w:rPr>
        <w:t>.-202</w:t>
      </w:r>
      <w:r w:rsidR="00C34087">
        <w:rPr>
          <w:rFonts w:ascii="Times New Roman" w:hAnsi="Times New Roman" w:cs="Times New Roman"/>
          <w:b/>
          <w:sz w:val="24"/>
          <w:szCs w:val="24"/>
        </w:rPr>
        <w:t>3</w:t>
      </w:r>
      <w:r w:rsidRPr="00843880">
        <w:rPr>
          <w:rFonts w:ascii="Times New Roman" w:hAnsi="Times New Roman" w:cs="Times New Roman"/>
          <w:b/>
          <w:sz w:val="24"/>
          <w:szCs w:val="24"/>
        </w:rPr>
        <w:t>.</w:t>
      </w:r>
      <w:r w:rsidRPr="00843880">
        <w:rPr>
          <w:rFonts w:ascii="Times New Roman" w:hAnsi="Times New Roman" w:cs="Times New Roman"/>
          <w:b/>
          <w:sz w:val="24"/>
          <w:szCs w:val="24"/>
          <w:lang w:val="x-none"/>
        </w:rPr>
        <w:t xml:space="preserve"> </w:t>
      </w:r>
    </w:p>
    <w:tbl>
      <w:tblPr>
        <w:tblpPr w:leftFromText="180" w:rightFromText="180" w:vertAnchor="text" w:horzAnchor="margin" w:tblpXSpec="center" w:tblpY="13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106"/>
        <w:gridCol w:w="1276"/>
        <w:gridCol w:w="1276"/>
        <w:gridCol w:w="1201"/>
        <w:gridCol w:w="1350"/>
      </w:tblGrid>
      <w:tr w:rsidR="003A103A" w:rsidRPr="00843880" w:rsidTr="003E6546">
        <w:tc>
          <w:tcPr>
            <w:tcW w:w="2830" w:type="dxa"/>
            <w:tcBorders>
              <w:top w:val="single" w:sz="4" w:space="0" w:color="auto"/>
              <w:left w:val="single" w:sz="4" w:space="0" w:color="auto"/>
              <w:bottom w:val="single" w:sz="4" w:space="0" w:color="auto"/>
              <w:right w:val="single" w:sz="4" w:space="0" w:color="auto"/>
            </w:tcBorders>
            <w:shd w:val="clear" w:color="auto" w:fill="FFFFCC"/>
          </w:tcPr>
          <w:p w:rsidR="003A103A" w:rsidRPr="00536E9A" w:rsidRDefault="003A103A" w:rsidP="003A103A">
            <w:pPr>
              <w:spacing w:line="240" w:lineRule="auto"/>
              <w:jc w:val="both"/>
              <w:rPr>
                <w:rFonts w:ascii="Times New Roman" w:hAnsi="Times New Roman" w:cs="Times New Roman"/>
                <w:b/>
                <w:sz w:val="20"/>
                <w:szCs w:val="20"/>
              </w:rPr>
            </w:pPr>
            <w:r w:rsidRPr="00536E9A">
              <w:rPr>
                <w:rFonts w:ascii="Times New Roman" w:hAnsi="Times New Roman" w:cs="Times New Roman"/>
                <w:b/>
                <w:sz w:val="20"/>
                <w:szCs w:val="20"/>
              </w:rPr>
              <w:t xml:space="preserve">Opis </w:t>
            </w:r>
          </w:p>
        </w:tc>
        <w:tc>
          <w:tcPr>
            <w:tcW w:w="1106" w:type="dxa"/>
            <w:tcBorders>
              <w:top w:val="single" w:sz="4" w:space="0" w:color="auto"/>
              <w:left w:val="single" w:sz="4" w:space="0" w:color="auto"/>
              <w:bottom w:val="single" w:sz="4" w:space="0" w:color="auto"/>
              <w:right w:val="single" w:sz="4" w:space="0" w:color="auto"/>
            </w:tcBorders>
            <w:shd w:val="clear" w:color="auto" w:fill="FFFFCC"/>
          </w:tcPr>
          <w:p w:rsidR="003A103A" w:rsidRPr="00536E9A" w:rsidRDefault="003A103A" w:rsidP="00885BCD">
            <w:pPr>
              <w:spacing w:line="240" w:lineRule="auto"/>
              <w:jc w:val="center"/>
              <w:rPr>
                <w:rFonts w:ascii="Times New Roman" w:hAnsi="Times New Roman" w:cs="Times New Roman"/>
                <w:b/>
                <w:sz w:val="20"/>
                <w:szCs w:val="20"/>
              </w:rPr>
            </w:pPr>
            <w:r w:rsidRPr="00536E9A">
              <w:rPr>
                <w:rFonts w:ascii="Times New Roman" w:hAnsi="Times New Roman" w:cs="Times New Roman"/>
                <w:b/>
                <w:sz w:val="20"/>
                <w:szCs w:val="20"/>
              </w:rPr>
              <w:t>2019.</w:t>
            </w:r>
          </w:p>
        </w:tc>
        <w:tc>
          <w:tcPr>
            <w:tcW w:w="1276" w:type="dxa"/>
            <w:tcBorders>
              <w:top w:val="single" w:sz="4" w:space="0" w:color="auto"/>
              <w:left w:val="single" w:sz="4" w:space="0" w:color="auto"/>
              <w:bottom w:val="single" w:sz="4" w:space="0" w:color="auto"/>
              <w:right w:val="single" w:sz="4" w:space="0" w:color="auto"/>
            </w:tcBorders>
            <w:shd w:val="clear" w:color="auto" w:fill="FFFFCC"/>
          </w:tcPr>
          <w:p w:rsidR="003A103A" w:rsidRPr="00536E9A" w:rsidRDefault="003A103A" w:rsidP="00885BCD">
            <w:pPr>
              <w:spacing w:line="240" w:lineRule="auto"/>
              <w:jc w:val="center"/>
              <w:rPr>
                <w:rFonts w:ascii="Times New Roman" w:hAnsi="Times New Roman" w:cs="Times New Roman"/>
                <w:b/>
                <w:sz w:val="20"/>
                <w:szCs w:val="20"/>
              </w:rPr>
            </w:pPr>
            <w:r w:rsidRPr="00536E9A">
              <w:rPr>
                <w:rFonts w:ascii="Times New Roman" w:hAnsi="Times New Roman" w:cs="Times New Roman"/>
                <w:b/>
                <w:sz w:val="20"/>
                <w:szCs w:val="20"/>
              </w:rPr>
              <w:t>2020.</w:t>
            </w:r>
          </w:p>
        </w:tc>
        <w:tc>
          <w:tcPr>
            <w:tcW w:w="1276" w:type="dxa"/>
            <w:tcBorders>
              <w:top w:val="single" w:sz="4" w:space="0" w:color="auto"/>
              <w:left w:val="single" w:sz="4" w:space="0" w:color="auto"/>
              <w:bottom w:val="single" w:sz="4" w:space="0" w:color="auto"/>
              <w:right w:val="single" w:sz="4" w:space="0" w:color="auto"/>
            </w:tcBorders>
            <w:shd w:val="clear" w:color="auto" w:fill="FFFFCC"/>
          </w:tcPr>
          <w:p w:rsidR="003A103A" w:rsidRPr="00536E9A" w:rsidRDefault="003A103A" w:rsidP="00885BCD">
            <w:pPr>
              <w:spacing w:line="240" w:lineRule="auto"/>
              <w:jc w:val="center"/>
              <w:rPr>
                <w:rFonts w:ascii="Times New Roman" w:hAnsi="Times New Roman" w:cs="Times New Roman"/>
                <w:b/>
                <w:sz w:val="20"/>
                <w:szCs w:val="20"/>
              </w:rPr>
            </w:pPr>
            <w:r w:rsidRPr="00536E9A">
              <w:rPr>
                <w:rFonts w:ascii="Times New Roman" w:hAnsi="Times New Roman" w:cs="Times New Roman"/>
                <w:b/>
                <w:sz w:val="20"/>
                <w:szCs w:val="20"/>
              </w:rPr>
              <w:t>2021.</w:t>
            </w:r>
          </w:p>
        </w:tc>
        <w:tc>
          <w:tcPr>
            <w:tcW w:w="1201" w:type="dxa"/>
            <w:tcBorders>
              <w:top w:val="single" w:sz="4" w:space="0" w:color="auto"/>
              <w:left w:val="single" w:sz="4" w:space="0" w:color="auto"/>
              <w:bottom w:val="single" w:sz="4" w:space="0" w:color="auto"/>
              <w:right w:val="single" w:sz="4" w:space="0" w:color="auto"/>
            </w:tcBorders>
            <w:shd w:val="clear" w:color="auto" w:fill="FFFFCC"/>
          </w:tcPr>
          <w:p w:rsidR="003A103A" w:rsidRPr="00536E9A" w:rsidRDefault="003A103A" w:rsidP="00885BCD">
            <w:pPr>
              <w:spacing w:line="240" w:lineRule="auto"/>
              <w:jc w:val="center"/>
              <w:rPr>
                <w:rFonts w:ascii="Times New Roman" w:hAnsi="Times New Roman" w:cs="Times New Roman"/>
                <w:b/>
                <w:sz w:val="20"/>
                <w:szCs w:val="20"/>
              </w:rPr>
            </w:pPr>
            <w:r w:rsidRPr="00536E9A">
              <w:rPr>
                <w:rFonts w:ascii="Times New Roman" w:hAnsi="Times New Roman" w:cs="Times New Roman"/>
                <w:b/>
                <w:sz w:val="20"/>
                <w:szCs w:val="20"/>
              </w:rPr>
              <w:t>2022.</w:t>
            </w:r>
          </w:p>
        </w:tc>
        <w:tc>
          <w:tcPr>
            <w:tcW w:w="1350" w:type="dxa"/>
            <w:tcBorders>
              <w:top w:val="single" w:sz="4" w:space="0" w:color="auto"/>
              <w:left w:val="single" w:sz="4" w:space="0" w:color="auto"/>
              <w:bottom w:val="single" w:sz="4" w:space="0" w:color="auto"/>
              <w:right w:val="single" w:sz="4" w:space="0" w:color="auto"/>
            </w:tcBorders>
            <w:shd w:val="clear" w:color="auto" w:fill="FFFFCC"/>
          </w:tcPr>
          <w:p w:rsidR="003A103A" w:rsidRPr="00536E9A" w:rsidRDefault="003A103A" w:rsidP="00885BCD">
            <w:pPr>
              <w:spacing w:line="240" w:lineRule="auto"/>
              <w:jc w:val="center"/>
              <w:rPr>
                <w:rFonts w:ascii="Times New Roman" w:hAnsi="Times New Roman" w:cs="Times New Roman"/>
                <w:b/>
                <w:sz w:val="20"/>
                <w:szCs w:val="20"/>
              </w:rPr>
            </w:pPr>
            <w:r w:rsidRPr="00536E9A">
              <w:rPr>
                <w:rFonts w:ascii="Times New Roman" w:hAnsi="Times New Roman" w:cs="Times New Roman"/>
                <w:b/>
                <w:sz w:val="20"/>
                <w:szCs w:val="20"/>
              </w:rPr>
              <w:t>2023.</w:t>
            </w:r>
          </w:p>
        </w:tc>
      </w:tr>
      <w:tr w:rsidR="003A103A" w:rsidRPr="00843880" w:rsidTr="003E6546">
        <w:tc>
          <w:tcPr>
            <w:tcW w:w="2830" w:type="dxa"/>
            <w:tcBorders>
              <w:top w:val="single" w:sz="8" w:space="0" w:color="auto"/>
              <w:left w:val="single" w:sz="8" w:space="0" w:color="auto"/>
              <w:bottom w:val="single" w:sz="8" w:space="0" w:color="auto"/>
              <w:right w:val="single" w:sz="8" w:space="0" w:color="auto"/>
            </w:tcBorders>
            <w:shd w:val="clear" w:color="auto" w:fill="auto"/>
            <w:vAlign w:val="center"/>
          </w:tcPr>
          <w:p w:rsidR="003A103A" w:rsidRPr="00536E9A" w:rsidRDefault="003A103A" w:rsidP="003A103A">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Školarine redovni studij</w:t>
            </w:r>
          </w:p>
        </w:tc>
        <w:tc>
          <w:tcPr>
            <w:tcW w:w="1106" w:type="dxa"/>
            <w:tcBorders>
              <w:top w:val="single" w:sz="8" w:space="0" w:color="auto"/>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313.131</w:t>
            </w:r>
          </w:p>
        </w:tc>
        <w:tc>
          <w:tcPr>
            <w:tcW w:w="1276" w:type="dxa"/>
            <w:tcBorders>
              <w:top w:val="single" w:sz="8" w:space="0" w:color="auto"/>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268.757</w:t>
            </w:r>
          </w:p>
        </w:tc>
        <w:tc>
          <w:tcPr>
            <w:tcW w:w="1276" w:type="dxa"/>
            <w:tcBorders>
              <w:top w:val="single" w:sz="8" w:space="0" w:color="auto"/>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248.171</w:t>
            </w:r>
          </w:p>
        </w:tc>
        <w:tc>
          <w:tcPr>
            <w:tcW w:w="1201" w:type="dxa"/>
            <w:tcBorders>
              <w:top w:val="single" w:sz="8" w:space="0" w:color="auto"/>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251.126</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3A103A" w:rsidRPr="00536E9A" w:rsidRDefault="003A103A" w:rsidP="00C34087">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223.868</w:t>
            </w:r>
          </w:p>
        </w:tc>
      </w:tr>
      <w:tr w:rsidR="003A103A" w:rsidRPr="00843880" w:rsidTr="003E6546">
        <w:trPr>
          <w:trHeight w:val="176"/>
        </w:trPr>
        <w:tc>
          <w:tcPr>
            <w:tcW w:w="2830" w:type="dxa"/>
            <w:tcBorders>
              <w:top w:val="nil"/>
              <w:left w:val="single" w:sz="8" w:space="0" w:color="auto"/>
              <w:bottom w:val="single" w:sz="8" w:space="0" w:color="auto"/>
              <w:right w:val="single" w:sz="8" w:space="0" w:color="auto"/>
            </w:tcBorders>
            <w:shd w:val="clear" w:color="auto" w:fill="auto"/>
            <w:vAlign w:val="center"/>
          </w:tcPr>
          <w:p w:rsidR="003A103A" w:rsidRPr="00536E9A" w:rsidRDefault="003A103A" w:rsidP="003A103A">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Školarine izvanredni studij</w:t>
            </w:r>
          </w:p>
        </w:tc>
        <w:tc>
          <w:tcPr>
            <w:tcW w:w="1106"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565.938</w:t>
            </w:r>
          </w:p>
        </w:tc>
        <w:tc>
          <w:tcPr>
            <w:tcW w:w="1276"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565.724</w:t>
            </w:r>
          </w:p>
        </w:tc>
        <w:tc>
          <w:tcPr>
            <w:tcW w:w="1276"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505.103</w:t>
            </w:r>
          </w:p>
        </w:tc>
        <w:tc>
          <w:tcPr>
            <w:tcW w:w="1201"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477.484</w:t>
            </w:r>
          </w:p>
        </w:tc>
        <w:tc>
          <w:tcPr>
            <w:tcW w:w="1350" w:type="dxa"/>
            <w:tcBorders>
              <w:top w:val="nil"/>
              <w:left w:val="single" w:sz="8" w:space="0" w:color="auto"/>
              <w:bottom w:val="single" w:sz="8" w:space="0" w:color="auto"/>
              <w:right w:val="single" w:sz="8" w:space="0" w:color="auto"/>
            </w:tcBorders>
            <w:shd w:val="clear" w:color="auto" w:fill="auto"/>
            <w:vAlign w:val="center"/>
          </w:tcPr>
          <w:p w:rsidR="003A103A" w:rsidRPr="00536E9A" w:rsidRDefault="003A103A" w:rsidP="00C34087">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360.440</w:t>
            </w:r>
          </w:p>
        </w:tc>
      </w:tr>
      <w:tr w:rsidR="003A103A" w:rsidRPr="00843880" w:rsidTr="003E6546">
        <w:tc>
          <w:tcPr>
            <w:tcW w:w="2830" w:type="dxa"/>
            <w:tcBorders>
              <w:top w:val="nil"/>
              <w:left w:val="single" w:sz="8" w:space="0" w:color="auto"/>
              <w:bottom w:val="single" w:sz="8" w:space="0" w:color="auto"/>
              <w:right w:val="single" w:sz="8" w:space="0" w:color="auto"/>
            </w:tcBorders>
            <w:shd w:val="clear" w:color="auto" w:fill="auto"/>
            <w:vAlign w:val="center"/>
          </w:tcPr>
          <w:p w:rsidR="003A103A" w:rsidRPr="00536E9A" w:rsidRDefault="003A103A" w:rsidP="003A103A">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Školarine razlikovni studij</w:t>
            </w:r>
          </w:p>
        </w:tc>
        <w:tc>
          <w:tcPr>
            <w:tcW w:w="1106"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2.201</w:t>
            </w:r>
          </w:p>
        </w:tc>
        <w:tc>
          <w:tcPr>
            <w:tcW w:w="1276"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4.938</w:t>
            </w:r>
          </w:p>
        </w:tc>
        <w:tc>
          <w:tcPr>
            <w:tcW w:w="1276"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5.298</w:t>
            </w:r>
          </w:p>
        </w:tc>
        <w:tc>
          <w:tcPr>
            <w:tcW w:w="1201"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3.489</w:t>
            </w:r>
          </w:p>
        </w:tc>
        <w:tc>
          <w:tcPr>
            <w:tcW w:w="1350" w:type="dxa"/>
            <w:tcBorders>
              <w:top w:val="nil"/>
              <w:left w:val="single" w:sz="8" w:space="0" w:color="auto"/>
              <w:bottom w:val="single" w:sz="8" w:space="0" w:color="auto"/>
              <w:right w:val="single" w:sz="8" w:space="0" w:color="auto"/>
            </w:tcBorders>
            <w:shd w:val="clear" w:color="auto" w:fill="auto"/>
            <w:vAlign w:val="center"/>
          </w:tcPr>
          <w:p w:rsidR="003A103A" w:rsidRPr="00536E9A" w:rsidRDefault="003A103A" w:rsidP="00C34087">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2.510</w:t>
            </w:r>
          </w:p>
        </w:tc>
      </w:tr>
      <w:tr w:rsidR="003A103A" w:rsidRPr="00843880" w:rsidTr="003E6546">
        <w:tc>
          <w:tcPr>
            <w:tcW w:w="2830" w:type="dxa"/>
            <w:tcBorders>
              <w:top w:val="nil"/>
              <w:left w:val="single" w:sz="8" w:space="0" w:color="auto"/>
              <w:bottom w:val="single" w:sz="8" w:space="0" w:color="auto"/>
              <w:right w:val="single" w:sz="8" w:space="0" w:color="auto"/>
            </w:tcBorders>
            <w:shd w:val="clear" w:color="auto" w:fill="auto"/>
            <w:vAlign w:val="center"/>
          </w:tcPr>
          <w:p w:rsidR="003A103A" w:rsidRPr="00536E9A" w:rsidRDefault="003A103A" w:rsidP="003A103A">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Školarine doktorski studij</w:t>
            </w:r>
          </w:p>
        </w:tc>
        <w:tc>
          <w:tcPr>
            <w:tcW w:w="1106"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67.118</w:t>
            </w:r>
          </w:p>
        </w:tc>
        <w:tc>
          <w:tcPr>
            <w:tcW w:w="1276"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62.922</w:t>
            </w:r>
          </w:p>
        </w:tc>
        <w:tc>
          <w:tcPr>
            <w:tcW w:w="1276"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53.155</w:t>
            </w:r>
          </w:p>
        </w:tc>
        <w:tc>
          <w:tcPr>
            <w:tcW w:w="1201"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61.384</w:t>
            </w:r>
          </w:p>
        </w:tc>
        <w:tc>
          <w:tcPr>
            <w:tcW w:w="1350" w:type="dxa"/>
            <w:tcBorders>
              <w:top w:val="nil"/>
              <w:left w:val="single" w:sz="8" w:space="0" w:color="auto"/>
              <w:bottom w:val="single" w:sz="8" w:space="0" w:color="auto"/>
              <w:right w:val="single" w:sz="8" w:space="0" w:color="auto"/>
            </w:tcBorders>
            <w:shd w:val="clear" w:color="auto" w:fill="auto"/>
            <w:vAlign w:val="center"/>
          </w:tcPr>
          <w:p w:rsidR="003A103A" w:rsidRPr="00536E9A" w:rsidRDefault="003A103A" w:rsidP="00C34087">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55.462</w:t>
            </w:r>
          </w:p>
        </w:tc>
      </w:tr>
      <w:tr w:rsidR="003A103A" w:rsidRPr="00843880" w:rsidTr="003E6546">
        <w:tc>
          <w:tcPr>
            <w:tcW w:w="2830" w:type="dxa"/>
            <w:tcBorders>
              <w:top w:val="nil"/>
              <w:left w:val="single" w:sz="8" w:space="0" w:color="auto"/>
              <w:bottom w:val="single" w:sz="8" w:space="0" w:color="auto"/>
              <w:right w:val="single" w:sz="8" w:space="0" w:color="auto"/>
            </w:tcBorders>
            <w:shd w:val="clear" w:color="auto" w:fill="auto"/>
            <w:vAlign w:val="center"/>
          </w:tcPr>
          <w:p w:rsidR="003A103A" w:rsidRPr="00536E9A" w:rsidRDefault="003A103A" w:rsidP="003A103A">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lastRenderedPageBreak/>
              <w:t>Upisnine</w:t>
            </w:r>
          </w:p>
        </w:tc>
        <w:tc>
          <w:tcPr>
            <w:tcW w:w="1106"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24.805</w:t>
            </w:r>
          </w:p>
        </w:tc>
        <w:tc>
          <w:tcPr>
            <w:tcW w:w="1276"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24.764</w:t>
            </w:r>
          </w:p>
        </w:tc>
        <w:tc>
          <w:tcPr>
            <w:tcW w:w="1276"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24.333</w:t>
            </w:r>
          </w:p>
        </w:tc>
        <w:tc>
          <w:tcPr>
            <w:tcW w:w="1201"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22.196</w:t>
            </w:r>
          </w:p>
        </w:tc>
        <w:tc>
          <w:tcPr>
            <w:tcW w:w="1350" w:type="dxa"/>
            <w:tcBorders>
              <w:top w:val="nil"/>
              <w:left w:val="single" w:sz="8" w:space="0" w:color="auto"/>
              <w:bottom w:val="single" w:sz="8" w:space="0" w:color="auto"/>
              <w:right w:val="single" w:sz="8" w:space="0" w:color="auto"/>
            </w:tcBorders>
            <w:shd w:val="clear" w:color="auto" w:fill="auto"/>
            <w:vAlign w:val="center"/>
          </w:tcPr>
          <w:p w:rsidR="003A103A" w:rsidRPr="00536E9A" w:rsidRDefault="003A103A" w:rsidP="00C34087">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20.454</w:t>
            </w:r>
          </w:p>
        </w:tc>
      </w:tr>
      <w:tr w:rsidR="003A103A" w:rsidRPr="00843880" w:rsidTr="003E6546">
        <w:tc>
          <w:tcPr>
            <w:tcW w:w="2830" w:type="dxa"/>
            <w:tcBorders>
              <w:top w:val="nil"/>
              <w:left w:val="single" w:sz="8" w:space="0" w:color="auto"/>
              <w:bottom w:val="single" w:sz="8" w:space="0" w:color="auto"/>
              <w:right w:val="single" w:sz="8" w:space="0" w:color="auto"/>
            </w:tcBorders>
            <w:shd w:val="clear" w:color="auto" w:fill="auto"/>
            <w:vAlign w:val="center"/>
          </w:tcPr>
          <w:p w:rsidR="003A103A" w:rsidRPr="00536E9A" w:rsidRDefault="003A103A" w:rsidP="003A103A">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Razredbeni postupak</w:t>
            </w:r>
          </w:p>
        </w:tc>
        <w:tc>
          <w:tcPr>
            <w:tcW w:w="1106"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398</w:t>
            </w:r>
          </w:p>
        </w:tc>
        <w:tc>
          <w:tcPr>
            <w:tcW w:w="1276"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133</w:t>
            </w:r>
          </w:p>
        </w:tc>
        <w:tc>
          <w:tcPr>
            <w:tcW w:w="1276"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290</w:t>
            </w:r>
          </w:p>
        </w:tc>
        <w:tc>
          <w:tcPr>
            <w:tcW w:w="1201"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299</w:t>
            </w:r>
          </w:p>
        </w:tc>
        <w:tc>
          <w:tcPr>
            <w:tcW w:w="1350" w:type="dxa"/>
            <w:tcBorders>
              <w:top w:val="nil"/>
              <w:left w:val="single" w:sz="8" w:space="0" w:color="auto"/>
              <w:bottom w:val="single" w:sz="8" w:space="0" w:color="auto"/>
              <w:right w:val="single" w:sz="8" w:space="0" w:color="auto"/>
            </w:tcBorders>
            <w:shd w:val="clear" w:color="auto" w:fill="auto"/>
            <w:vAlign w:val="center"/>
          </w:tcPr>
          <w:p w:rsidR="003A103A" w:rsidRPr="00536E9A" w:rsidRDefault="003A103A" w:rsidP="00C34087">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 </w:t>
            </w:r>
          </w:p>
        </w:tc>
      </w:tr>
      <w:tr w:rsidR="003A103A" w:rsidRPr="00843880" w:rsidTr="003E6546">
        <w:tc>
          <w:tcPr>
            <w:tcW w:w="2830" w:type="dxa"/>
            <w:tcBorders>
              <w:top w:val="nil"/>
              <w:left w:val="single" w:sz="8" w:space="0" w:color="auto"/>
              <w:bottom w:val="single" w:sz="8" w:space="0" w:color="auto"/>
              <w:right w:val="single" w:sz="8" w:space="0" w:color="auto"/>
            </w:tcBorders>
            <w:shd w:val="clear" w:color="auto" w:fill="auto"/>
            <w:vAlign w:val="center"/>
          </w:tcPr>
          <w:p w:rsidR="003A103A" w:rsidRPr="00536E9A" w:rsidRDefault="003A103A" w:rsidP="003A103A">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Diplome, uvjerenja i sl.</w:t>
            </w:r>
          </w:p>
        </w:tc>
        <w:tc>
          <w:tcPr>
            <w:tcW w:w="1106"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18.050</w:t>
            </w:r>
          </w:p>
        </w:tc>
        <w:tc>
          <w:tcPr>
            <w:tcW w:w="1276"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18.342</w:t>
            </w:r>
          </w:p>
        </w:tc>
        <w:tc>
          <w:tcPr>
            <w:tcW w:w="1276"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16.378</w:t>
            </w:r>
          </w:p>
        </w:tc>
        <w:tc>
          <w:tcPr>
            <w:tcW w:w="1201" w:type="dxa"/>
            <w:tcBorders>
              <w:top w:val="nil"/>
              <w:left w:val="nil"/>
              <w:bottom w:val="single" w:sz="8" w:space="0" w:color="auto"/>
              <w:right w:val="single" w:sz="8" w:space="0" w:color="auto"/>
            </w:tcBorders>
            <w:shd w:val="clear" w:color="auto" w:fill="auto"/>
            <w:vAlign w:val="center"/>
          </w:tcPr>
          <w:p w:rsidR="003A103A" w:rsidRPr="00536E9A" w:rsidRDefault="003A103A" w:rsidP="003A103A">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16.077</w:t>
            </w:r>
          </w:p>
        </w:tc>
        <w:tc>
          <w:tcPr>
            <w:tcW w:w="1350" w:type="dxa"/>
            <w:tcBorders>
              <w:top w:val="nil"/>
              <w:left w:val="single" w:sz="8" w:space="0" w:color="auto"/>
              <w:bottom w:val="single" w:sz="8" w:space="0" w:color="auto"/>
              <w:right w:val="single" w:sz="8" w:space="0" w:color="auto"/>
            </w:tcBorders>
            <w:shd w:val="clear" w:color="auto" w:fill="auto"/>
            <w:vAlign w:val="center"/>
          </w:tcPr>
          <w:p w:rsidR="003A103A" w:rsidRPr="00536E9A" w:rsidRDefault="003A103A" w:rsidP="00C34087">
            <w:pPr>
              <w:spacing w:line="240" w:lineRule="auto"/>
              <w:jc w:val="right"/>
              <w:rPr>
                <w:rFonts w:ascii="Times New Roman" w:hAnsi="Times New Roman" w:cs="Times New Roman"/>
                <w:bCs/>
                <w:sz w:val="20"/>
                <w:szCs w:val="20"/>
              </w:rPr>
            </w:pPr>
            <w:r w:rsidRPr="00536E9A">
              <w:rPr>
                <w:rFonts w:ascii="Times New Roman" w:hAnsi="Times New Roman" w:cs="Times New Roman"/>
                <w:bCs/>
                <w:sz w:val="20"/>
                <w:szCs w:val="20"/>
              </w:rPr>
              <w:t>1.617</w:t>
            </w:r>
          </w:p>
        </w:tc>
      </w:tr>
      <w:tr w:rsidR="003A103A" w:rsidRPr="00843880" w:rsidTr="003E6546">
        <w:tc>
          <w:tcPr>
            <w:tcW w:w="2830" w:type="dxa"/>
            <w:tcBorders>
              <w:top w:val="single" w:sz="8" w:space="0" w:color="auto"/>
              <w:left w:val="single" w:sz="8" w:space="0" w:color="auto"/>
              <w:bottom w:val="single" w:sz="4" w:space="0" w:color="auto"/>
              <w:right w:val="single" w:sz="8" w:space="0" w:color="auto"/>
            </w:tcBorders>
            <w:shd w:val="clear" w:color="auto" w:fill="FFFFCC"/>
            <w:vAlign w:val="center"/>
          </w:tcPr>
          <w:p w:rsidR="003A103A" w:rsidRPr="00536E9A" w:rsidRDefault="003A103A" w:rsidP="003A103A">
            <w:pPr>
              <w:spacing w:line="240" w:lineRule="auto"/>
              <w:jc w:val="both"/>
              <w:rPr>
                <w:rFonts w:ascii="Times New Roman" w:hAnsi="Times New Roman" w:cs="Times New Roman"/>
                <w:b/>
                <w:bCs/>
                <w:sz w:val="20"/>
                <w:szCs w:val="20"/>
              </w:rPr>
            </w:pPr>
            <w:r w:rsidRPr="00536E9A">
              <w:rPr>
                <w:rFonts w:ascii="Times New Roman" w:hAnsi="Times New Roman" w:cs="Times New Roman"/>
                <w:b/>
                <w:bCs/>
                <w:sz w:val="20"/>
                <w:szCs w:val="20"/>
              </w:rPr>
              <w:t xml:space="preserve">Ukupno: </w:t>
            </w:r>
          </w:p>
        </w:tc>
        <w:tc>
          <w:tcPr>
            <w:tcW w:w="1106" w:type="dxa"/>
            <w:tcBorders>
              <w:top w:val="single" w:sz="8" w:space="0" w:color="auto"/>
              <w:left w:val="nil"/>
              <w:bottom w:val="single" w:sz="4" w:space="0" w:color="auto"/>
              <w:right w:val="single" w:sz="8" w:space="0" w:color="auto"/>
            </w:tcBorders>
            <w:shd w:val="clear" w:color="auto" w:fill="FFFFCC"/>
          </w:tcPr>
          <w:p w:rsidR="003A103A" w:rsidRPr="00536E9A" w:rsidRDefault="003A103A" w:rsidP="00C34087">
            <w:pPr>
              <w:spacing w:line="240" w:lineRule="auto"/>
              <w:jc w:val="right"/>
              <w:rPr>
                <w:rFonts w:ascii="Times New Roman" w:hAnsi="Times New Roman" w:cs="Times New Roman"/>
                <w:b/>
                <w:bCs/>
                <w:sz w:val="20"/>
                <w:szCs w:val="20"/>
              </w:rPr>
            </w:pPr>
            <w:r w:rsidRPr="00536E9A">
              <w:rPr>
                <w:rFonts w:ascii="Times New Roman" w:hAnsi="Times New Roman" w:cs="Times New Roman"/>
                <w:b/>
                <w:bCs/>
                <w:sz w:val="20"/>
                <w:szCs w:val="20"/>
              </w:rPr>
              <w:t>991.641</w:t>
            </w:r>
          </w:p>
        </w:tc>
        <w:tc>
          <w:tcPr>
            <w:tcW w:w="1276" w:type="dxa"/>
            <w:tcBorders>
              <w:top w:val="single" w:sz="8" w:space="0" w:color="auto"/>
              <w:left w:val="nil"/>
              <w:bottom w:val="single" w:sz="4" w:space="0" w:color="auto"/>
              <w:right w:val="single" w:sz="8" w:space="0" w:color="auto"/>
            </w:tcBorders>
            <w:shd w:val="clear" w:color="auto" w:fill="FFFFCC"/>
          </w:tcPr>
          <w:p w:rsidR="003A103A" w:rsidRPr="00536E9A" w:rsidRDefault="003A103A" w:rsidP="00C34087">
            <w:pPr>
              <w:spacing w:line="240" w:lineRule="auto"/>
              <w:jc w:val="right"/>
              <w:rPr>
                <w:rFonts w:ascii="Times New Roman" w:hAnsi="Times New Roman" w:cs="Times New Roman"/>
                <w:b/>
                <w:bCs/>
                <w:sz w:val="20"/>
                <w:szCs w:val="20"/>
              </w:rPr>
            </w:pPr>
            <w:r w:rsidRPr="00536E9A">
              <w:rPr>
                <w:rFonts w:ascii="Times New Roman" w:hAnsi="Times New Roman" w:cs="Times New Roman"/>
                <w:b/>
                <w:bCs/>
                <w:sz w:val="20"/>
                <w:szCs w:val="20"/>
              </w:rPr>
              <w:t>945.580</w:t>
            </w:r>
          </w:p>
        </w:tc>
        <w:tc>
          <w:tcPr>
            <w:tcW w:w="1276" w:type="dxa"/>
            <w:tcBorders>
              <w:top w:val="single" w:sz="8" w:space="0" w:color="auto"/>
              <w:left w:val="nil"/>
              <w:bottom w:val="single" w:sz="4" w:space="0" w:color="auto"/>
              <w:right w:val="single" w:sz="8" w:space="0" w:color="auto"/>
            </w:tcBorders>
            <w:shd w:val="clear" w:color="auto" w:fill="FFFFCC"/>
          </w:tcPr>
          <w:p w:rsidR="003A103A" w:rsidRPr="00536E9A" w:rsidRDefault="003A103A" w:rsidP="00C34087">
            <w:pPr>
              <w:spacing w:line="240" w:lineRule="auto"/>
              <w:jc w:val="right"/>
              <w:rPr>
                <w:rFonts w:ascii="Times New Roman" w:hAnsi="Times New Roman" w:cs="Times New Roman"/>
                <w:b/>
                <w:bCs/>
                <w:sz w:val="20"/>
                <w:szCs w:val="20"/>
              </w:rPr>
            </w:pPr>
            <w:r w:rsidRPr="00536E9A">
              <w:rPr>
                <w:rFonts w:ascii="Times New Roman" w:hAnsi="Times New Roman" w:cs="Times New Roman"/>
                <w:b/>
                <w:bCs/>
                <w:sz w:val="20"/>
                <w:szCs w:val="20"/>
              </w:rPr>
              <w:t>852.728</w:t>
            </w:r>
          </w:p>
        </w:tc>
        <w:tc>
          <w:tcPr>
            <w:tcW w:w="1201" w:type="dxa"/>
            <w:tcBorders>
              <w:top w:val="single" w:sz="8" w:space="0" w:color="auto"/>
              <w:left w:val="nil"/>
              <w:bottom w:val="single" w:sz="4" w:space="0" w:color="auto"/>
              <w:right w:val="single" w:sz="8" w:space="0" w:color="auto"/>
            </w:tcBorders>
            <w:shd w:val="clear" w:color="auto" w:fill="FFFFCC"/>
          </w:tcPr>
          <w:p w:rsidR="003A103A" w:rsidRPr="00536E9A" w:rsidRDefault="003A103A" w:rsidP="00C34087">
            <w:pPr>
              <w:spacing w:line="240" w:lineRule="auto"/>
              <w:jc w:val="right"/>
              <w:rPr>
                <w:rFonts w:ascii="Times New Roman" w:hAnsi="Times New Roman" w:cs="Times New Roman"/>
                <w:b/>
                <w:bCs/>
                <w:sz w:val="20"/>
                <w:szCs w:val="20"/>
              </w:rPr>
            </w:pPr>
            <w:r w:rsidRPr="00536E9A">
              <w:rPr>
                <w:rFonts w:ascii="Times New Roman" w:hAnsi="Times New Roman" w:cs="Times New Roman"/>
                <w:b/>
                <w:bCs/>
                <w:sz w:val="20"/>
                <w:szCs w:val="20"/>
              </w:rPr>
              <w:t>832.054</w:t>
            </w:r>
          </w:p>
        </w:tc>
        <w:tc>
          <w:tcPr>
            <w:tcW w:w="1350" w:type="dxa"/>
            <w:tcBorders>
              <w:top w:val="single" w:sz="8" w:space="0" w:color="auto"/>
              <w:left w:val="nil"/>
              <w:bottom w:val="single" w:sz="4" w:space="0" w:color="auto"/>
              <w:right w:val="single" w:sz="8" w:space="0" w:color="auto"/>
            </w:tcBorders>
            <w:shd w:val="clear" w:color="auto" w:fill="FFFFCC"/>
          </w:tcPr>
          <w:p w:rsidR="003A103A" w:rsidRPr="00536E9A" w:rsidRDefault="003A103A" w:rsidP="00C34087">
            <w:pPr>
              <w:spacing w:line="240" w:lineRule="auto"/>
              <w:jc w:val="right"/>
              <w:rPr>
                <w:rFonts w:ascii="Times New Roman" w:hAnsi="Times New Roman" w:cs="Times New Roman"/>
                <w:b/>
                <w:bCs/>
                <w:sz w:val="20"/>
                <w:szCs w:val="20"/>
              </w:rPr>
            </w:pPr>
            <w:r w:rsidRPr="00536E9A">
              <w:rPr>
                <w:rFonts w:ascii="Times New Roman" w:hAnsi="Times New Roman" w:cs="Times New Roman"/>
                <w:b/>
                <w:bCs/>
                <w:sz w:val="20"/>
                <w:szCs w:val="20"/>
              </w:rPr>
              <w:t>664.351</w:t>
            </w:r>
          </w:p>
        </w:tc>
      </w:tr>
      <w:tr w:rsidR="003A103A" w:rsidRPr="00843880" w:rsidTr="003E6546">
        <w:tc>
          <w:tcPr>
            <w:tcW w:w="2830" w:type="dxa"/>
            <w:tcBorders>
              <w:top w:val="single" w:sz="4" w:space="0" w:color="auto"/>
              <w:left w:val="single" w:sz="4" w:space="0" w:color="auto"/>
              <w:bottom w:val="single" w:sz="4" w:space="0" w:color="auto"/>
              <w:right w:val="single" w:sz="4" w:space="0" w:color="auto"/>
            </w:tcBorders>
            <w:shd w:val="clear" w:color="auto" w:fill="FFFFCC"/>
            <w:vAlign w:val="center"/>
          </w:tcPr>
          <w:p w:rsidR="003A103A" w:rsidRPr="00536E9A" w:rsidRDefault="003A103A" w:rsidP="003A103A">
            <w:pPr>
              <w:spacing w:line="240" w:lineRule="auto"/>
              <w:jc w:val="both"/>
              <w:rPr>
                <w:rFonts w:ascii="Times New Roman" w:hAnsi="Times New Roman" w:cs="Times New Roman"/>
                <w:b/>
                <w:bCs/>
                <w:sz w:val="20"/>
                <w:szCs w:val="20"/>
              </w:rPr>
            </w:pPr>
            <w:r w:rsidRPr="00536E9A">
              <w:rPr>
                <w:rFonts w:ascii="Times New Roman" w:hAnsi="Times New Roman" w:cs="Times New Roman"/>
                <w:b/>
                <w:bCs/>
                <w:sz w:val="20"/>
                <w:szCs w:val="20"/>
              </w:rPr>
              <w:t>Izdvajanja za Sveučilište 3% (+1% od 2023.)</w:t>
            </w:r>
          </w:p>
        </w:tc>
        <w:tc>
          <w:tcPr>
            <w:tcW w:w="1106" w:type="dxa"/>
            <w:tcBorders>
              <w:top w:val="single" w:sz="4" w:space="0" w:color="auto"/>
              <w:left w:val="nil"/>
              <w:bottom w:val="single" w:sz="4" w:space="0" w:color="auto"/>
              <w:right w:val="single" w:sz="4" w:space="0" w:color="auto"/>
            </w:tcBorders>
            <w:shd w:val="clear" w:color="auto" w:fill="FFFFCC"/>
            <w:vAlign w:val="center"/>
          </w:tcPr>
          <w:p w:rsidR="003A103A" w:rsidRPr="00536E9A" w:rsidRDefault="003A103A" w:rsidP="003A103A">
            <w:pPr>
              <w:spacing w:line="240" w:lineRule="auto"/>
              <w:jc w:val="right"/>
              <w:rPr>
                <w:rFonts w:ascii="Times New Roman" w:hAnsi="Times New Roman" w:cs="Times New Roman"/>
                <w:b/>
                <w:bCs/>
                <w:sz w:val="20"/>
                <w:szCs w:val="20"/>
              </w:rPr>
            </w:pPr>
            <w:r w:rsidRPr="00536E9A">
              <w:rPr>
                <w:rFonts w:ascii="Times New Roman" w:hAnsi="Times New Roman" w:cs="Times New Roman"/>
                <w:b/>
                <w:bCs/>
                <w:sz w:val="20"/>
                <w:szCs w:val="20"/>
              </w:rPr>
              <w:t>28.419</w:t>
            </w:r>
          </w:p>
        </w:tc>
        <w:tc>
          <w:tcPr>
            <w:tcW w:w="1276" w:type="dxa"/>
            <w:tcBorders>
              <w:top w:val="single" w:sz="4" w:space="0" w:color="auto"/>
              <w:left w:val="nil"/>
              <w:bottom w:val="single" w:sz="4" w:space="0" w:color="auto"/>
              <w:right w:val="single" w:sz="4" w:space="0" w:color="auto"/>
            </w:tcBorders>
            <w:shd w:val="clear" w:color="auto" w:fill="FFFFCC"/>
            <w:vAlign w:val="center"/>
          </w:tcPr>
          <w:p w:rsidR="003A103A" w:rsidRPr="00536E9A" w:rsidRDefault="003A103A" w:rsidP="003A103A">
            <w:pPr>
              <w:spacing w:line="240" w:lineRule="auto"/>
              <w:jc w:val="right"/>
              <w:rPr>
                <w:rFonts w:ascii="Times New Roman" w:hAnsi="Times New Roman" w:cs="Times New Roman"/>
                <w:b/>
                <w:bCs/>
                <w:sz w:val="20"/>
                <w:szCs w:val="20"/>
              </w:rPr>
            </w:pPr>
            <w:r w:rsidRPr="00536E9A">
              <w:rPr>
                <w:rFonts w:ascii="Times New Roman" w:hAnsi="Times New Roman" w:cs="Times New Roman"/>
                <w:b/>
                <w:bCs/>
                <w:sz w:val="20"/>
                <w:szCs w:val="20"/>
              </w:rPr>
              <w:t>28.152</w:t>
            </w:r>
          </w:p>
        </w:tc>
        <w:tc>
          <w:tcPr>
            <w:tcW w:w="1276" w:type="dxa"/>
            <w:tcBorders>
              <w:top w:val="single" w:sz="4" w:space="0" w:color="auto"/>
              <w:left w:val="nil"/>
              <w:bottom w:val="single" w:sz="4" w:space="0" w:color="auto"/>
              <w:right w:val="single" w:sz="4" w:space="0" w:color="auto"/>
            </w:tcBorders>
            <w:shd w:val="clear" w:color="auto" w:fill="FFFFCC"/>
            <w:vAlign w:val="center"/>
          </w:tcPr>
          <w:p w:rsidR="003A103A" w:rsidRPr="00536E9A" w:rsidRDefault="003A103A" w:rsidP="003A103A">
            <w:pPr>
              <w:spacing w:line="240" w:lineRule="auto"/>
              <w:jc w:val="right"/>
              <w:rPr>
                <w:rFonts w:ascii="Times New Roman" w:hAnsi="Times New Roman" w:cs="Times New Roman"/>
                <w:b/>
                <w:bCs/>
                <w:sz w:val="20"/>
                <w:szCs w:val="20"/>
              </w:rPr>
            </w:pPr>
            <w:r w:rsidRPr="00536E9A">
              <w:rPr>
                <w:rFonts w:ascii="Times New Roman" w:hAnsi="Times New Roman" w:cs="Times New Roman"/>
                <w:b/>
                <w:bCs/>
                <w:sz w:val="20"/>
                <w:szCs w:val="20"/>
              </w:rPr>
              <w:t>26.419</w:t>
            </w:r>
          </w:p>
        </w:tc>
        <w:tc>
          <w:tcPr>
            <w:tcW w:w="1201" w:type="dxa"/>
            <w:tcBorders>
              <w:top w:val="single" w:sz="4" w:space="0" w:color="auto"/>
              <w:left w:val="nil"/>
              <w:bottom w:val="single" w:sz="4" w:space="0" w:color="auto"/>
              <w:right w:val="single" w:sz="4" w:space="0" w:color="auto"/>
            </w:tcBorders>
            <w:shd w:val="clear" w:color="auto" w:fill="FFFFCC"/>
            <w:vAlign w:val="center"/>
          </w:tcPr>
          <w:p w:rsidR="003A103A" w:rsidRPr="00536E9A" w:rsidRDefault="003A103A" w:rsidP="003A103A">
            <w:pPr>
              <w:spacing w:line="240" w:lineRule="auto"/>
              <w:jc w:val="right"/>
              <w:rPr>
                <w:rFonts w:ascii="Times New Roman" w:hAnsi="Times New Roman" w:cs="Times New Roman"/>
                <w:b/>
                <w:bCs/>
                <w:sz w:val="20"/>
                <w:szCs w:val="20"/>
              </w:rPr>
            </w:pPr>
            <w:r w:rsidRPr="00536E9A">
              <w:rPr>
                <w:rFonts w:ascii="Times New Roman" w:hAnsi="Times New Roman" w:cs="Times New Roman"/>
                <w:b/>
                <w:bCs/>
                <w:sz w:val="20"/>
                <w:szCs w:val="20"/>
              </w:rPr>
              <w:t>24.307</w:t>
            </w:r>
          </w:p>
        </w:tc>
        <w:tc>
          <w:tcPr>
            <w:tcW w:w="1350" w:type="dxa"/>
            <w:tcBorders>
              <w:top w:val="single" w:sz="4" w:space="0" w:color="auto"/>
              <w:left w:val="nil"/>
              <w:bottom w:val="single" w:sz="4" w:space="0" w:color="auto"/>
              <w:right w:val="single" w:sz="4" w:space="0" w:color="auto"/>
            </w:tcBorders>
            <w:shd w:val="clear" w:color="auto" w:fill="FFFFCC"/>
            <w:vAlign w:val="center"/>
          </w:tcPr>
          <w:p w:rsidR="003A103A" w:rsidRPr="00536E9A" w:rsidRDefault="00C34087" w:rsidP="003A103A">
            <w:pPr>
              <w:spacing w:line="240" w:lineRule="auto"/>
              <w:jc w:val="right"/>
              <w:rPr>
                <w:rFonts w:ascii="Times New Roman" w:hAnsi="Times New Roman" w:cs="Times New Roman"/>
                <w:b/>
                <w:bCs/>
                <w:sz w:val="20"/>
                <w:szCs w:val="20"/>
              </w:rPr>
            </w:pPr>
            <w:r w:rsidRPr="00536E9A">
              <w:rPr>
                <w:rFonts w:ascii="Times New Roman" w:hAnsi="Times New Roman" w:cs="Times New Roman"/>
                <w:b/>
                <w:bCs/>
                <w:sz w:val="20"/>
                <w:szCs w:val="20"/>
              </w:rPr>
              <w:t>29.643</w:t>
            </w:r>
          </w:p>
        </w:tc>
      </w:tr>
    </w:tbl>
    <w:p w:rsidR="00843880" w:rsidRDefault="00843880" w:rsidP="00843880">
      <w:pPr>
        <w:spacing w:line="240" w:lineRule="auto"/>
        <w:jc w:val="both"/>
        <w:rPr>
          <w:rFonts w:ascii="Times New Roman" w:hAnsi="Times New Roman" w:cs="Times New Roman"/>
          <w:b/>
          <w:sz w:val="24"/>
          <w:szCs w:val="24"/>
        </w:rPr>
      </w:pPr>
    </w:p>
    <w:p w:rsidR="00C34087" w:rsidRDefault="00C34087" w:rsidP="0084388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Obračun upisnina od </w:t>
      </w:r>
      <w:r w:rsidR="00741060">
        <w:rPr>
          <w:rFonts w:ascii="Times New Roman" w:hAnsi="Times New Roman" w:cs="Times New Roman"/>
          <w:b/>
          <w:sz w:val="24"/>
          <w:szCs w:val="24"/>
        </w:rPr>
        <w:t>prijed</w:t>
      </w:r>
      <w:r>
        <w:rPr>
          <w:rFonts w:ascii="Times New Roman" w:hAnsi="Times New Roman" w:cs="Times New Roman"/>
          <w:b/>
          <w:sz w:val="24"/>
          <w:szCs w:val="24"/>
        </w:rPr>
        <w:t xml:space="preserve">iplomskih i diplomskih studija iznosi 43.194 EUR za uplatu Sveučilištu u Rijeci, a </w:t>
      </w:r>
      <w:r w:rsidR="00885BCD">
        <w:rPr>
          <w:rFonts w:ascii="Times New Roman" w:hAnsi="Times New Roman" w:cs="Times New Roman"/>
          <w:b/>
          <w:sz w:val="24"/>
          <w:szCs w:val="24"/>
        </w:rPr>
        <w:t xml:space="preserve">obračun </w:t>
      </w:r>
      <w:r>
        <w:rPr>
          <w:rFonts w:ascii="Times New Roman" w:hAnsi="Times New Roman" w:cs="Times New Roman"/>
          <w:b/>
          <w:sz w:val="24"/>
          <w:szCs w:val="24"/>
        </w:rPr>
        <w:t>upisnina od poslijediplomskog studija</w:t>
      </w:r>
      <w:r w:rsidR="00885BCD">
        <w:rPr>
          <w:rFonts w:ascii="Times New Roman" w:hAnsi="Times New Roman" w:cs="Times New Roman"/>
          <w:b/>
          <w:sz w:val="24"/>
          <w:szCs w:val="24"/>
        </w:rPr>
        <w:t xml:space="preserve"> iznosi</w:t>
      </w:r>
      <w:r>
        <w:rPr>
          <w:rFonts w:ascii="Times New Roman" w:hAnsi="Times New Roman" w:cs="Times New Roman"/>
          <w:b/>
          <w:sz w:val="24"/>
          <w:szCs w:val="24"/>
        </w:rPr>
        <w:t xml:space="preserve"> 2.282 EUR. </w:t>
      </w:r>
    </w:p>
    <w:p w:rsidR="00C34087" w:rsidRDefault="00C34087" w:rsidP="00843880">
      <w:pPr>
        <w:spacing w:line="240" w:lineRule="auto"/>
        <w:jc w:val="both"/>
        <w:rPr>
          <w:rFonts w:ascii="Times New Roman" w:hAnsi="Times New Roman" w:cs="Times New Roman"/>
          <w:b/>
          <w:sz w:val="24"/>
          <w:szCs w:val="24"/>
        </w:rPr>
      </w:pPr>
    </w:p>
    <w:p w:rsidR="00C34087" w:rsidRDefault="00C34087" w:rsidP="00843880">
      <w:pPr>
        <w:spacing w:line="240" w:lineRule="auto"/>
        <w:jc w:val="both"/>
        <w:rPr>
          <w:rFonts w:ascii="Times New Roman" w:hAnsi="Times New Roman" w:cs="Times New Roman"/>
          <w:b/>
          <w:sz w:val="24"/>
          <w:szCs w:val="24"/>
        </w:rPr>
      </w:pPr>
      <w:r>
        <w:rPr>
          <w:noProof/>
        </w:rPr>
        <w:drawing>
          <wp:inline distT="0" distB="0" distL="0" distR="0" wp14:anchorId="57327D64" wp14:editId="47E9B039">
            <wp:extent cx="5760720" cy="3284855"/>
            <wp:effectExtent l="0" t="0" r="11430" b="10795"/>
            <wp:docPr id="1" name="Grafikon 1">
              <a:extLst xmlns:a="http://schemas.openxmlformats.org/drawingml/2006/main">
                <a:ext uri="{FF2B5EF4-FFF2-40B4-BE49-F238E27FC236}">
                  <a16:creationId xmlns:a16="http://schemas.microsoft.com/office/drawing/2014/main" id="{91C19072-C208-4D17-8FC7-94C0311F41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4087" w:rsidRPr="00843880" w:rsidRDefault="00C34087" w:rsidP="00843880">
      <w:pPr>
        <w:spacing w:line="240" w:lineRule="auto"/>
        <w:jc w:val="both"/>
        <w:rPr>
          <w:rFonts w:ascii="Times New Roman" w:hAnsi="Times New Roman" w:cs="Times New Roman"/>
          <w:b/>
          <w:sz w:val="24"/>
          <w:szCs w:val="24"/>
        </w:rPr>
      </w:pPr>
    </w:p>
    <w:p w:rsidR="00C34087" w:rsidRDefault="00885BCD" w:rsidP="00843880">
      <w:pPr>
        <w:spacing w:line="240" w:lineRule="auto"/>
        <w:jc w:val="both"/>
        <w:rPr>
          <w:rFonts w:ascii="Times New Roman" w:hAnsi="Times New Roman" w:cs="Times New Roman"/>
          <w:b/>
          <w:sz w:val="24"/>
          <w:szCs w:val="24"/>
        </w:rPr>
      </w:pPr>
      <w:r>
        <w:rPr>
          <w:rFonts w:ascii="Times New Roman" w:hAnsi="Times New Roman" w:cs="Times New Roman"/>
          <w:b/>
          <w:sz w:val="24"/>
          <w:szCs w:val="24"/>
        </w:rPr>
        <w:t>U</w:t>
      </w:r>
      <w:r w:rsidR="00843880" w:rsidRPr="00843880">
        <w:rPr>
          <w:rFonts w:ascii="Times New Roman" w:hAnsi="Times New Roman" w:cs="Times New Roman"/>
          <w:b/>
          <w:sz w:val="24"/>
          <w:szCs w:val="24"/>
        </w:rPr>
        <w:t xml:space="preserve"> 202</w:t>
      </w:r>
      <w:r w:rsidR="00C34087">
        <w:rPr>
          <w:rFonts w:ascii="Times New Roman" w:hAnsi="Times New Roman" w:cs="Times New Roman"/>
          <w:b/>
          <w:sz w:val="24"/>
          <w:szCs w:val="24"/>
        </w:rPr>
        <w:t>3</w:t>
      </w:r>
      <w:r w:rsidR="00843880" w:rsidRPr="00843880">
        <w:rPr>
          <w:rFonts w:ascii="Times New Roman" w:hAnsi="Times New Roman" w:cs="Times New Roman"/>
          <w:b/>
          <w:sz w:val="24"/>
          <w:szCs w:val="24"/>
        </w:rPr>
        <w:t>. godin</w:t>
      </w:r>
      <w:r>
        <w:rPr>
          <w:rFonts w:ascii="Times New Roman" w:hAnsi="Times New Roman" w:cs="Times New Roman"/>
          <w:b/>
          <w:sz w:val="24"/>
          <w:szCs w:val="24"/>
        </w:rPr>
        <w:t>i</w:t>
      </w:r>
      <w:r w:rsidR="00843880" w:rsidRPr="00843880">
        <w:rPr>
          <w:rFonts w:ascii="Times New Roman" w:hAnsi="Times New Roman" w:cs="Times New Roman"/>
          <w:b/>
          <w:sz w:val="24"/>
          <w:szCs w:val="24"/>
        </w:rPr>
        <w:t xml:space="preserve"> ukupan iznos obveze prema Sveučilištu </w:t>
      </w:r>
      <w:r w:rsidR="00C34087">
        <w:rPr>
          <w:rFonts w:ascii="Times New Roman" w:hAnsi="Times New Roman" w:cs="Times New Roman"/>
          <w:b/>
          <w:sz w:val="24"/>
          <w:szCs w:val="24"/>
        </w:rPr>
        <w:t xml:space="preserve">u Rijeci za </w:t>
      </w:r>
      <w:r w:rsidR="00843880" w:rsidRPr="00843880">
        <w:rPr>
          <w:rFonts w:ascii="Times New Roman" w:hAnsi="Times New Roman" w:cs="Times New Roman"/>
          <w:b/>
          <w:sz w:val="24"/>
          <w:szCs w:val="24"/>
        </w:rPr>
        <w:t>izdvajanj</w:t>
      </w:r>
      <w:r w:rsidR="00C34087">
        <w:rPr>
          <w:rFonts w:ascii="Times New Roman" w:hAnsi="Times New Roman" w:cs="Times New Roman"/>
          <w:b/>
          <w:sz w:val="24"/>
          <w:szCs w:val="24"/>
        </w:rPr>
        <w:t>e</w:t>
      </w:r>
      <w:r w:rsidR="00843880" w:rsidRPr="00843880">
        <w:rPr>
          <w:rFonts w:ascii="Times New Roman" w:hAnsi="Times New Roman" w:cs="Times New Roman"/>
          <w:b/>
          <w:sz w:val="24"/>
          <w:szCs w:val="24"/>
        </w:rPr>
        <w:t xml:space="preserve"> 3% </w:t>
      </w:r>
      <w:r w:rsidR="00C34087">
        <w:rPr>
          <w:rFonts w:ascii="Times New Roman" w:hAnsi="Times New Roman" w:cs="Times New Roman"/>
          <w:b/>
          <w:sz w:val="24"/>
          <w:szCs w:val="24"/>
        </w:rPr>
        <w:t xml:space="preserve">+1% </w:t>
      </w:r>
      <w:r w:rsidR="00843880" w:rsidRPr="00843880">
        <w:rPr>
          <w:rFonts w:ascii="Times New Roman" w:hAnsi="Times New Roman" w:cs="Times New Roman"/>
          <w:b/>
          <w:sz w:val="24"/>
          <w:szCs w:val="24"/>
        </w:rPr>
        <w:t xml:space="preserve">vlastitih prihoda ostvarenih na tržištu i prihoda od školarina, te prihoda od upisnina </w:t>
      </w:r>
      <w:r w:rsidR="00C34087">
        <w:rPr>
          <w:rFonts w:ascii="Times New Roman" w:hAnsi="Times New Roman" w:cs="Times New Roman"/>
          <w:b/>
          <w:sz w:val="24"/>
          <w:szCs w:val="24"/>
        </w:rPr>
        <w:t>(</w:t>
      </w:r>
      <w:r w:rsidR="00545DC5">
        <w:rPr>
          <w:rFonts w:ascii="Times New Roman" w:hAnsi="Times New Roman" w:cs="Times New Roman"/>
          <w:b/>
          <w:sz w:val="24"/>
          <w:szCs w:val="24"/>
        </w:rPr>
        <w:t>prijed</w:t>
      </w:r>
      <w:r w:rsidR="00C34087">
        <w:rPr>
          <w:rFonts w:ascii="Times New Roman" w:hAnsi="Times New Roman" w:cs="Times New Roman"/>
          <w:b/>
          <w:sz w:val="24"/>
          <w:szCs w:val="24"/>
        </w:rPr>
        <w:t>iplomski, diplomski i poslijediplomski studij) iznosi 103.216 EUR.</w:t>
      </w:r>
    </w:p>
    <w:p w:rsidR="00843880" w:rsidRPr="00843880" w:rsidRDefault="00C34087" w:rsidP="00843880">
      <w:pPr>
        <w:spacing w:line="240" w:lineRule="auto"/>
        <w:jc w:val="both"/>
        <w:rPr>
          <w:rFonts w:ascii="Times New Roman" w:hAnsi="Times New Roman" w:cs="Times New Roman"/>
          <w:sz w:val="24"/>
          <w:szCs w:val="24"/>
        </w:rPr>
      </w:pPr>
      <w:r>
        <w:rPr>
          <w:rFonts w:ascii="Times New Roman" w:hAnsi="Times New Roman" w:cs="Times New Roman"/>
          <w:b/>
          <w:sz w:val="24"/>
          <w:szCs w:val="24"/>
        </w:rPr>
        <w:t>P</w:t>
      </w:r>
      <w:r w:rsidR="00843880" w:rsidRPr="00843880">
        <w:rPr>
          <w:rFonts w:ascii="Times New Roman" w:hAnsi="Times New Roman" w:cs="Times New Roman"/>
          <w:b/>
          <w:sz w:val="24"/>
          <w:szCs w:val="24"/>
        </w:rPr>
        <w:t>RIHODE OD OSTALIH POMOĆI I DAROVNICA</w:t>
      </w:r>
      <w:r w:rsidR="00843880" w:rsidRPr="00843880">
        <w:rPr>
          <w:rFonts w:ascii="Times New Roman" w:hAnsi="Times New Roman" w:cs="Times New Roman"/>
          <w:sz w:val="24"/>
          <w:szCs w:val="24"/>
        </w:rPr>
        <w:t xml:space="preserve"> čine prihodi od međunarodnih organizacija</w:t>
      </w:r>
      <w:r w:rsidR="009E5FF3">
        <w:rPr>
          <w:rFonts w:ascii="Times New Roman" w:hAnsi="Times New Roman" w:cs="Times New Roman"/>
          <w:sz w:val="24"/>
          <w:szCs w:val="24"/>
        </w:rPr>
        <w:t xml:space="preserve"> (IAMU)</w:t>
      </w:r>
      <w:r w:rsidR="00843880" w:rsidRPr="00843880">
        <w:rPr>
          <w:rFonts w:ascii="Times New Roman" w:hAnsi="Times New Roman" w:cs="Times New Roman"/>
          <w:sz w:val="24"/>
          <w:szCs w:val="24"/>
        </w:rPr>
        <w:t xml:space="preserve">, te prihodi doznačeni od ostalih proračunskih korisnika, Sveučilišta i ministarstava za financiranje projekata. </w:t>
      </w:r>
    </w:p>
    <w:p w:rsidR="00C34087" w:rsidRPr="00C34087" w:rsidRDefault="00C34087" w:rsidP="00C34087">
      <w:pPr>
        <w:spacing w:line="240" w:lineRule="auto"/>
        <w:jc w:val="both"/>
        <w:rPr>
          <w:rFonts w:ascii="Times New Roman" w:hAnsi="Times New Roman" w:cs="Times New Roman"/>
          <w:sz w:val="24"/>
          <w:szCs w:val="24"/>
        </w:rPr>
      </w:pPr>
      <w:r w:rsidRPr="00C34087">
        <w:rPr>
          <w:rFonts w:ascii="Times New Roman" w:hAnsi="Times New Roman" w:cs="Times New Roman"/>
          <w:sz w:val="24"/>
          <w:szCs w:val="24"/>
        </w:rPr>
        <w:t xml:space="preserve">Iznos od 52.089  </w:t>
      </w:r>
      <w:r w:rsidR="005C1261">
        <w:rPr>
          <w:rFonts w:ascii="Times New Roman" w:hAnsi="Times New Roman" w:cs="Times New Roman"/>
          <w:sz w:val="24"/>
          <w:szCs w:val="24"/>
        </w:rPr>
        <w:t>EUR</w:t>
      </w:r>
      <w:r w:rsidRPr="00C34087">
        <w:rPr>
          <w:rFonts w:ascii="Times New Roman" w:hAnsi="Times New Roman" w:cs="Times New Roman"/>
          <w:sz w:val="24"/>
          <w:szCs w:val="24"/>
        </w:rPr>
        <w:t xml:space="preserve"> sadrži prijenos sredstava od strane Sveučilišta u Rijeci za financiranje rada Studentskog zbora u iznosu od 1.698</w:t>
      </w:r>
      <w:r>
        <w:rPr>
          <w:rFonts w:ascii="Times New Roman" w:hAnsi="Times New Roman" w:cs="Times New Roman"/>
          <w:sz w:val="24"/>
          <w:szCs w:val="24"/>
        </w:rPr>
        <w:t xml:space="preserve"> </w:t>
      </w:r>
      <w:r w:rsidR="005C1261">
        <w:rPr>
          <w:rFonts w:ascii="Times New Roman" w:hAnsi="Times New Roman" w:cs="Times New Roman"/>
          <w:sz w:val="24"/>
          <w:szCs w:val="24"/>
        </w:rPr>
        <w:t>EUR</w:t>
      </w:r>
      <w:r w:rsidRPr="00C34087">
        <w:rPr>
          <w:rFonts w:ascii="Times New Roman" w:hAnsi="Times New Roman" w:cs="Times New Roman"/>
          <w:sz w:val="24"/>
          <w:szCs w:val="24"/>
        </w:rPr>
        <w:t xml:space="preserve">, za stimulativne znanstveno istraživačke potpore u iznosu od 13.398 </w:t>
      </w:r>
      <w:r w:rsidR="005C1261">
        <w:rPr>
          <w:rFonts w:ascii="Times New Roman" w:hAnsi="Times New Roman" w:cs="Times New Roman"/>
          <w:sz w:val="24"/>
          <w:szCs w:val="24"/>
        </w:rPr>
        <w:t>EUR</w:t>
      </w:r>
      <w:r w:rsidRPr="00C34087">
        <w:rPr>
          <w:rFonts w:ascii="Times New Roman" w:hAnsi="Times New Roman" w:cs="Times New Roman"/>
          <w:sz w:val="24"/>
          <w:szCs w:val="24"/>
        </w:rPr>
        <w:t xml:space="preserve"> i za održavanje opreme u iznosu od 2.303 </w:t>
      </w:r>
      <w:r w:rsidR="005C1261">
        <w:rPr>
          <w:rFonts w:ascii="Times New Roman" w:hAnsi="Times New Roman" w:cs="Times New Roman"/>
          <w:sz w:val="24"/>
          <w:szCs w:val="24"/>
        </w:rPr>
        <w:t>EUR</w:t>
      </w:r>
      <w:r w:rsidRPr="00C34087">
        <w:rPr>
          <w:rFonts w:ascii="Times New Roman" w:hAnsi="Times New Roman" w:cs="Times New Roman"/>
          <w:sz w:val="24"/>
          <w:szCs w:val="24"/>
        </w:rPr>
        <w:t xml:space="preserve">,  uplatu Ministarstva znanosti i obrazovanja za sufinanciranje izdavanja znanstvenog časopisa Pomorstvo u iznosu od 4.247 </w:t>
      </w:r>
      <w:r w:rsidR="005C1261">
        <w:rPr>
          <w:rFonts w:ascii="Times New Roman" w:hAnsi="Times New Roman" w:cs="Times New Roman"/>
          <w:sz w:val="24"/>
          <w:szCs w:val="24"/>
        </w:rPr>
        <w:t>EUR</w:t>
      </w:r>
      <w:r w:rsidRPr="00C34087">
        <w:rPr>
          <w:rFonts w:ascii="Times New Roman" w:hAnsi="Times New Roman" w:cs="Times New Roman"/>
          <w:sz w:val="24"/>
          <w:szCs w:val="24"/>
        </w:rPr>
        <w:t xml:space="preserve">, za međunarodne članarine u iznosu od 300 </w:t>
      </w:r>
      <w:r w:rsidR="005C1261">
        <w:rPr>
          <w:rFonts w:ascii="Times New Roman" w:hAnsi="Times New Roman" w:cs="Times New Roman"/>
          <w:sz w:val="24"/>
          <w:szCs w:val="24"/>
        </w:rPr>
        <w:t>EUR</w:t>
      </w:r>
      <w:r w:rsidRPr="00C34087">
        <w:rPr>
          <w:rFonts w:ascii="Times New Roman" w:hAnsi="Times New Roman" w:cs="Times New Roman"/>
          <w:sz w:val="24"/>
          <w:szCs w:val="24"/>
        </w:rPr>
        <w:t xml:space="preserve">, za organizaciju skupova u iznosu od 500 </w:t>
      </w:r>
      <w:r w:rsidR="005C1261">
        <w:rPr>
          <w:rFonts w:ascii="Times New Roman" w:hAnsi="Times New Roman" w:cs="Times New Roman"/>
          <w:sz w:val="24"/>
          <w:szCs w:val="24"/>
        </w:rPr>
        <w:t>EUR</w:t>
      </w:r>
      <w:r w:rsidRPr="00C34087">
        <w:rPr>
          <w:rFonts w:ascii="Times New Roman" w:hAnsi="Times New Roman" w:cs="Times New Roman"/>
          <w:sz w:val="24"/>
          <w:szCs w:val="24"/>
        </w:rPr>
        <w:t xml:space="preserve"> i potporu za izdavanje znanstvenih udžbenika u iznosu od 2.880 </w:t>
      </w:r>
      <w:r w:rsidR="005C1261">
        <w:rPr>
          <w:rFonts w:ascii="Times New Roman" w:hAnsi="Times New Roman" w:cs="Times New Roman"/>
          <w:sz w:val="24"/>
          <w:szCs w:val="24"/>
        </w:rPr>
        <w:t>EUR</w:t>
      </w:r>
      <w:r w:rsidRPr="00C34087">
        <w:rPr>
          <w:rFonts w:ascii="Times New Roman" w:hAnsi="Times New Roman" w:cs="Times New Roman"/>
          <w:sz w:val="24"/>
          <w:szCs w:val="24"/>
        </w:rPr>
        <w:t xml:space="preserve">.  Također, Hrvatska zaklada za znanost u sklopu provođenja projekta „Engleske riječi u hrvatskome jeziku: identifikacija, afektivno semantičko normiranje i </w:t>
      </w:r>
      <w:r w:rsidRPr="00C34087">
        <w:rPr>
          <w:rFonts w:ascii="Times New Roman" w:hAnsi="Times New Roman" w:cs="Times New Roman"/>
          <w:sz w:val="24"/>
          <w:szCs w:val="24"/>
        </w:rPr>
        <w:lastRenderedPageBreak/>
        <w:t>ispitivanje kognitivne obrade bihevioralnim i neuroznanstvenim metodama“  doznačila je sredstva za plaću  poslijedoktoranda i materijalne troškove u iznosu od  26.76</w:t>
      </w:r>
      <w:r w:rsidR="005C1261">
        <w:rPr>
          <w:rFonts w:ascii="Times New Roman" w:hAnsi="Times New Roman" w:cs="Times New Roman"/>
          <w:sz w:val="24"/>
          <w:szCs w:val="24"/>
        </w:rPr>
        <w:t>2</w:t>
      </w:r>
      <w:r w:rsidRPr="00C34087">
        <w:rPr>
          <w:rFonts w:ascii="Times New Roman" w:hAnsi="Times New Roman" w:cs="Times New Roman"/>
          <w:sz w:val="24"/>
          <w:szCs w:val="24"/>
        </w:rPr>
        <w:t xml:space="preserve"> </w:t>
      </w:r>
      <w:r w:rsidR="005C1261">
        <w:rPr>
          <w:rFonts w:ascii="Times New Roman" w:hAnsi="Times New Roman" w:cs="Times New Roman"/>
          <w:sz w:val="24"/>
          <w:szCs w:val="24"/>
        </w:rPr>
        <w:t>EUR</w:t>
      </w:r>
      <w:r w:rsidRPr="00C34087">
        <w:rPr>
          <w:rFonts w:ascii="Times New Roman" w:hAnsi="Times New Roman" w:cs="Times New Roman"/>
          <w:sz w:val="24"/>
          <w:szCs w:val="24"/>
        </w:rPr>
        <w:t xml:space="preserve">. </w:t>
      </w:r>
    </w:p>
    <w:p w:rsidR="00843880" w:rsidRDefault="00C34087" w:rsidP="00C34087">
      <w:pPr>
        <w:spacing w:line="240" w:lineRule="auto"/>
        <w:jc w:val="both"/>
        <w:rPr>
          <w:rFonts w:ascii="Times New Roman" w:hAnsi="Times New Roman" w:cs="Times New Roman"/>
          <w:sz w:val="24"/>
          <w:szCs w:val="24"/>
        </w:rPr>
      </w:pPr>
      <w:r w:rsidRPr="00C34087">
        <w:rPr>
          <w:rFonts w:ascii="Times New Roman" w:hAnsi="Times New Roman" w:cs="Times New Roman"/>
          <w:sz w:val="24"/>
          <w:szCs w:val="24"/>
        </w:rPr>
        <w:t xml:space="preserve">Kapitalni prijenosi između proračunskih korisnika istog proračuna odnose se na iznos utrošen za nabavu laboratorijske opreme za projekt financiran iz UNIRI istraživačke potpore u iznosu od 2.401 </w:t>
      </w:r>
      <w:r w:rsidR="005C1261">
        <w:rPr>
          <w:rFonts w:ascii="Times New Roman" w:hAnsi="Times New Roman" w:cs="Times New Roman"/>
          <w:sz w:val="24"/>
          <w:szCs w:val="24"/>
        </w:rPr>
        <w:t>EUR</w:t>
      </w:r>
      <w:r w:rsidRPr="00C34087">
        <w:rPr>
          <w:rFonts w:ascii="Times New Roman" w:hAnsi="Times New Roman" w:cs="Times New Roman"/>
          <w:sz w:val="24"/>
          <w:szCs w:val="24"/>
        </w:rPr>
        <w:t xml:space="preserve"> i iznos za nabavu računalne opreme za potrebe izdavanja časopisa Pomorstvo u iznosu od 3.487</w:t>
      </w:r>
      <w:r w:rsidR="005C1261">
        <w:rPr>
          <w:rFonts w:ascii="Times New Roman" w:hAnsi="Times New Roman" w:cs="Times New Roman"/>
          <w:sz w:val="24"/>
          <w:szCs w:val="24"/>
        </w:rPr>
        <w:t xml:space="preserve"> EUR</w:t>
      </w:r>
      <w:r w:rsidRPr="00C34087">
        <w:rPr>
          <w:rFonts w:ascii="Times New Roman" w:hAnsi="Times New Roman" w:cs="Times New Roman"/>
          <w:sz w:val="24"/>
          <w:szCs w:val="24"/>
        </w:rPr>
        <w:t>.</w:t>
      </w:r>
    </w:p>
    <w:p w:rsidR="00885BCD" w:rsidRDefault="00885BCD" w:rsidP="00C34087">
      <w:pPr>
        <w:spacing w:line="240" w:lineRule="auto"/>
        <w:jc w:val="both"/>
        <w:rPr>
          <w:rFonts w:ascii="Times New Roman" w:hAnsi="Times New Roman" w:cs="Times New Roman"/>
          <w:sz w:val="24"/>
          <w:szCs w:val="24"/>
        </w:rPr>
      </w:pPr>
      <w:r>
        <w:rPr>
          <w:rFonts w:ascii="Times New Roman" w:hAnsi="Times New Roman" w:cs="Times New Roman"/>
          <w:sz w:val="24"/>
          <w:szCs w:val="24"/>
        </w:rPr>
        <w:t>Struktura prihoda od EU projekata izgleda kako slijedi:</w:t>
      </w:r>
    </w:p>
    <w:tbl>
      <w:tblPr>
        <w:tblW w:w="8220" w:type="dxa"/>
        <w:tblLook w:val="04A0" w:firstRow="1" w:lastRow="0" w:firstColumn="1" w:lastColumn="0" w:noHBand="0" w:noVBand="1"/>
      </w:tblPr>
      <w:tblGrid>
        <w:gridCol w:w="4820"/>
        <w:gridCol w:w="1840"/>
        <w:gridCol w:w="1560"/>
      </w:tblGrid>
      <w:tr w:rsidR="003E6546" w:rsidRPr="00536E9A" w:rsidTr="00536E9A">
        <w:trPr>
          <w:trHeight w:val="300"/>
        </w:trPr>
        <w:tc>
          <w:tcPr>
            <w:tcW w:w="482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3E6546" w:rsidRPr="00536E9A" w:rsidRDefault="003E6546" w:rsidP="00536E9A">
            <w:pPr>
              <w:spacing w:line="240" w:lineRule="auto"/>
              <w:jc w:val="both"/>
              <w:rPr>
                <w:rFonts w:ascii="Times New Roman" w:hAnsi="Times New Roman" w:cs="Times New Roman"/>
                <w:b/>
                <w:sz w:val="20"/>
                <w:szCs w:val="20"/>
              </w:rPr>
            </w:pPr>
            <w:r w:rsidRPr="00536E9A">
              <w:rPr>
                <w:rFonts w:ascii="Times New Roman" w:hAnsi="Times New Roman" w:cs="Times New Roman"/>
                <w:b/>
                <w:sz w:val="20"/>
                <w:szCs w:val="20"/>
              </w:rPr>
              <w:t>Prihodi EU projekti</w:t>
            </w:r>
          </w:p>
        </w:tc>
        <w:tc>
          <w:tcPr>
            <w:tcW w:w="1840" w:type="dxa"/>
            <w:tcBorders>
              <w:top w:val="single" w:sz="8" w:space="0" w:color="auto"/>
              <w:left w:val="nil"/>
              <w:bottom w:val="single" w:sz="8" w:space="0" w:color="auto"/>
              <w:right w:val="single" w:sz="8" w:space="0" w:color="auto"/>
            </w:tcBorders>
            <w:shd w:val="clear" w:color="auto" w:fill="FFFFCC"/>
            <w:vAlign w:val="center"/>
            <w:hideMark/>
          </w:tcPr>
          <w:p w:rsidR="003E6546" w:rsidRPr="00536E9A" w:rsidRDefault="003E6546" w:rsidP="00536E9A">
            <w:pPr>
              <w:spacing w:line="240" w:lineRule="auto"/>
              <w:jc w:val="center"/>
              <w:rPr>
                <w:rFonts w:ascii="Times New Roman" w:hAnsi="Times New Roman" w:cs="Times New Roman"/>
                <w:b/>
                <w:sz w:val="20"/>
                <w:szCs w:val="20"/>
              </w:rPr>
            </w:pPr>
            <w:r w:rsidRPr="00536E9A">
              <w:rPr>
                <w:rFonts w:ascii="Times New Roman" w:hAnsi="Times New Roman" w:cs="Times New Roman"/>
                <w:b/>
                <w:sz w:val="20"/>
                <w:szCs w:val="20"/>
              </w:rPr>
              <w:t>2022.</w:t>
            </w:r>
          </w:p>
        </w:tc>
        <w:tc>
          <w:tcPr>
            <w:tcW w:w="1560" w:type="dxa"/>
            <w:tcBorders>
              <w:top w:val="single" w:sz="8" w:space="0" w:color="auto"/>
              <w:left w:val="nil"/>
              <w:bottom w:val="single" w:sz="8" w:space="0" w:color="auto"/>
              <w:right w:val="single" w:sz="8" w:space="0" w:color="auto"/>
            </w:tcBorders>
            <w:shd w:val="clear" w:color="auto" w:fill="FFFFCC"/>
            <w:vAlign w:val="center"/>
            <w:hideMark/>
          </w:tcPr>
          <w:p w:rsidR="003E6546" w:rsidRPr="00536E9A" w:rsidRDefault="003E6546" w:rsidP="00536E9A">
            <w:pPr>
              <w:spacing w:line="240" w:lineRule="auto"/>
              <w:jc w:val="center"/>
              <w:rPr>
                <w:rFonts w:ascii="Times New Roman" w:hAnsi="Times New Roman" w:cs="Times New Roman"/>
                <w:b/>
                <w:sz w:val="20"/>
                <w:szCs w:val="20"/>
              </w:rPr>
            </w:pPr>
            <w:r w:rsidRPr="00536E9A">
              <w:rPr>
                <w:rFonts w:ascii="Times New Roman" w:hAnsi="Times New Roman" w:cs="Times New Roman"/>
                <w:b/>
                <w:sz w:val="20"/>
                <w:szCs w:val="20"/>
              </w:rPr>
              <w:t>2023.</w:t>
            </w:r>
          </w:p>
        </w:tc>
      </w:tr>
      <w:tr w:rsidR="003E6546" w:rsidRPr="00536E9A" w:rsidTr="003E6546">
        <w:trPr>
          <w:trHeight w:val="30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3E6546" w:rsidRPr="00536E9A" w:rsidRDefault="003E6546" w:rsidP="00536E9A">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 xml:space="preserve">Erasmus, </w:t>
            </w:r>
            <w:proofErr w:type="spellStart"/>
            <w:r w:rsidRPr="00536E9A">
              <w:rPr>
                <w:rFonts w:ascii="Times New Roman" w:hAnsi="Times New Roman" w:cs="Times New Roman"/>
                <w:sz w:val="20"/>
                <w:szCs w:val="20"/>
              </w:rPr>
              <w:t>Interreg</w:t>
            </w:r>
            <w:proofErr w:type="spellEnd"/>
            <w:r w:rsidRPr="00536E9A">
              <w:rPr>
                <w:rFonts w:ascii="Times New Roman" w:hAnsi="Times New Roman" w:cs="Times New Roman"/>
                <w:sz w:val="20"/>
                <w:szCs w:val="20"/>
              </w:rPr>
              <w:t xml:space="preserve">, </w:t>
            </w:r>
            <w:proofErr w:type="spellStart"/>
            <w:r w:rsidRPr="00536E9A">
              <w:rPr>
                <w:rFonts w:ascii="Times New Roman" w:hAnsi="Times New Roman" w:cs="Times New Roman"/>
                <w:sz w:val="20"/>
                <w:szCs w:val="20"/>
              </w:rPr>
              <w:t>Horizon</w:t>
            </w:r>
            <w:proofErr w:type="spellEnd"/>
            <w:r w:rsidRPr="00536E9A">
              <w:rPr>
                <w:rFonts w:ascii="Times New Roman" w:hAnsi="Times New Roman" w:cs="Times New Roman"/>
                <w:sz w:val="20"/>
                <w:szCs w:val="20"/>
              </w:rPr>
              <w:t xml:space="preserve"> (izvor 51)</w:t>
            </w:r>
          </w:p>
        </w:tc>
        <w:tc>
          <w:tcPr>
            <w:tcW w:w="1840" w:type="dxa"/>
            <w:tcBorders>
              <w:top w:val="nil"/>
              <w:left w:val="nil"/>
              <w:bottom w:val="single" w:sz="8" w:space="0" w:color="auto"/>
              <w:right w:val="single" w:sz="8" w:space="0" w:color="auto"/>
            </w:tcBorders>
            <w:shd w:val="clear" w:color="auto" w:fill="auto"/>
            <w:vAlign w:val="center"/>
            <w:hideMark/>
          </w:tcPr>
          <w:p w:rsidR="003E6546" w:rsidRPr="00536E9A" w:rsidRDefault="003E6546" w:rsidP="00536E9A">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1.731.417</w:t>
            </w:r>
          </w:p>
        </w:tc>
        <w:tc>
          <w:tcPr>
            <w:tcW w:w="1560" w:type="dxa"/>
            <w:tcBorders>
              <w:top w:val="nil"/>
              <w:left w:val="nil"/>
              <w:bottom w:val="single" w:sz="8" w:space="0" w:color="auto"/>
              <w:right w:val="single" w:sz="8" w:space="0" w:color="auto"/>
            </w:tcBorders>
            <w:shd w:val="clear" w:color="auto" w:fill="auto"/>
            <w:vAlign w:val="center"/>
            <w:hideMark/>
          </w:tcPr>
          <w:p w:rsidR="003E6546" w:rsidRPr="00536E9A" w:rsidRDefault="003E6546" w:rsidP="00536E9A">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569.797</w:t>
            </w:r>
          </w:p>
        </w:tc>
      </w:tr>
      <w:tr w:rsidR="003E6546" w:rsidRPr="00536E9A" w:rsidTr="003E6546">
        <w:trPr>
          <w:trHeight w:val="30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3E6546" w:rsidRPr="00536E9A" w:rsidRDefault="003E6546" w:rsidP="00536E9A">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 xml:space="preserve">Eureka, IAMU, </w:t>
            </w:r>
            <w:proofErr w:type="spellStart"/>
            <w:r w:rsidRPr="00536E9A">
              <w:rPr>
                <w:rFonts w:ascii="Times New Roman" w:hAnsi="Times New Roman" w:cs="Times New Roman"/>
                <w:sz w:val="20"/>
                <w:szCs w:val="20"/>
              </w:rPr>
              <w:t>ProtectAs</w:t>
            </w:r>
            <w:proofErr w:type="spellEnd"/>
            <w:r w:rsidRPr="00536E9A">
              <w:rPr>
                <w:rFonts w:ascii="Times New Roman" w:hAnsi="Times New Roman" w:cs="Times New Roman"/>
                <w:sz w:val="20"/>
                <w:szCs w:val="20"/>
              </w:rPr>
              <w:t>, Prolog (izvor 52)</w:t>
            </w:r>
          </w:p>
        </w:tc>
        <w:tc>
          <w:tcPr>
            <w:tcW w:w="1840" w:type="dxa"/>
            <w:tcBorders>
              <w:top w:val="nil"/>
              <w:left w:val="nil"/>
              <w:bottom w:val="single" w:sz="8" w:space="0" w:color="auto"/>
              <w:right w:val="single" w:sz="8" w:space="0" w:color="auto"/>
            </w:tcBorders>
            <w:shd w:val="clear" w:color="auto" w:fill="auto"/>
            <w:vAlign w:val="center"/>
            <w:hideMark/>
          </w:tcPr>
          <w:p w:rsidR="003E6546" w:rsidRPr="00536E9A" w:rsidRDefault="003E6546" w:rsidP="00536E9A">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51.870</w:t>
            </w:r>
          </w:p>
        </w:tc>
        <w:tc>
          <w:tcPr>
            <w:tcW w:w="1560" w:type="dxa"/>
            <w:tcBorders>
              <w:top w:val="nil"/>
              <w:left w:val="nil"/>
              <w:bottom w:val="single" w:sz="8" w:space="0" w:color="auto"/>
              <w:right w:val="single" w:sz="8" w:space="0" w:color="auto"/>
            </w:tcBorders>
            <w:shd w:val="clear" w:color="auto" w:fill="auto"/>
            <w:vAlign w:val="center"/>
            <w:hideMark/>
          </w:tcPr>
          <w:p w:rsidR="003E6546" w:rsidRPr="00536E9A" w:rsidRDefault="003E6546" w:rsidP="00536E9A">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19.758</w:t>
            </w:r>
          </w:p>
        </w:tc>
      </w:tr>
      <w:tr w:rsidR="003E6546" w:rsidRPr="00536E9A" w:rsidTr="003E6546">
        <w:trPr>
          <w:trHeight w:val="30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3E6546" w:rsidRPr="00536E9A" w:rsidRDefault="003E6546" w:rsidP="00536E9A">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 xml:space="preserve">HKO projekti </w:t>
            </w:r>
            <w:proofErr w:type="spellStart"/>
            <w:r w:rsidRPr="00536E9A">
              <w:rPr>
                <w:rFonts w:ascii="Times New Roman" w:hAnsi="Times New Roman" w:cs="Times New Roman"/>
                <w:sz w:val="20"/>
                <w:szCs w:val="20"/>
              </w:rPr>
              <w:t>Medusa</w:t>
            </w:r>
            <w:proofErr w:type="spellEnd"/>
            <w:r w:rsidRPr="00536E9A">
              <w:rPr>
                <w:rFonts w:ascii="Times New Roman" w:hAnsi="Times New Roman" w:cs="Times New Roman"/>
                <w:sz w:val="20"/>
                <w:szCs w:val="20"/>
              </w:rPr>
              <w:t xml:space="preserve"> i Pandora (12 i 561)</w:t>
            </w:r>
          </w:p>
        </w:tc>
        <w:tc>
          <w:tcPr>
            <w:tcW w:w="1840" w:type="dxa"/>
            <w:tcBorders>
              <w:top w:val="nil"/>
              <w:left w:val="nil"/>
              <w:bottom w:val="single" w:sz="8" w:space="0" w:color="auto"/>
              <w:right w:val="single" w:sz="8" w:space="0" w:color="auto"/>
            </w:tcBorders>
            <w:shd w:val="clear" w:color="auto" w:fill="auto"/>
            <w:vAlign w:val="center"/>
            <w:hideMark/>
          </w:tcPr>
          <w:p w:rsidR="003E6546" w:rsidRPr="00536E9A" w:rsidRDefault="003E6546" w:rsidP="00536E9A">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299.937</w:t>
            </w:r>
          </w:p>
        </w:tc>
        <w:tc>
          <w:tcPr>
            <w:tcW w:w="1560" w:type="dxa"/>
            <w:tcBorders>
              <w:top w:val="nil"/>
              <w:left w:val="nil"/>
              <w:bottom w:val="single" w:sz="8" w:space="0" w:color="auto"/>
              <w:right w:val="single" w:sz="8" w:space="0" w:color="auto"/>
            </w:tcBorders>
            <w:shd w:val="clear" w:color="auto" w:fill="auto"/>
            <w:vAlign w:val="center"/>
            <w:hideMark/>
          </w:tcPr>
          <w:p w:rsidR="003E6546" w:rsidRPr="00536E9A" w:rsidRDefault="003E6546" w:rsidP="00536E9A">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127.642</w:t>
            </w:r>
          </w:p>
        </w:tc>
      </w:tr>
      <w:tr w:rsidR="003E6546" w:rsidRPr="00536E9A" w:rsidTr="00536E9A">
        <w:trPr>
          <w:trHeight w:val="30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3E6546" w:rsidRPr="00536E9A" w:rsidRDefault="003E6546" w:rsidP="00536E9A">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CEKOM (izvor 6)</w:t>
            </w:r>
          </w:p>
        </w:tc>
        <w:tc>
          <w:tcPr>
            <w:tcW w:w="1840" w:type="dxa"/>
            <w:tcBorders>
              <w:top w:val="nil"/>
              <w:left w:val="nil"/>
              <w:bottom w:val="single" w:sz="8" w:space="0" w:color="auto"/>
              <w:right w:val="single" w:sz="8" w:space="0" w:color="auto"/>
            </w:tcBorders>
            <w:shd w:val="clear" w:color="auto" w:fill="auto"/>
            <w:vAlign w:val="center"/>
            <w:hideMark/>
          </w:tcPr>
          <w:p w:rsidR="003E6546" w:rsidRPr="00536E9A" w:rsidRDefault="003E6546" w:rsidP="00536E9A">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62.398</w:t>
            </w:r>
          </w:p>
        </w:tc>
        <w:tc>
          <w:tcPr>
            <w:tcW w:w="1560" w:type="dxa"/>
            <w:tcBorders>
              <w:top w:val="nil"/>
              <w:left w:val="nil"/>
              <w:bottom w:val="single" w:sz="8" w:space="0" w:color="auto"/>
              <w:right w:val="single" w:sz="8" w:space="0" w:color="auto"/>
            </w:tcBorders>
            <w:shd w:val="clear" w:color="auto" w:fill="auto"/>
            <w:vAlign w:val="center"/>
            <w:hideMark/>
          </w:tcPr>
          <w:p w:rsidR="003E6546" w:rsidRPr="00536E9A" w:rsidRDefault="003E6546" w:rsidP="00536E9A">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57.770</w:t>
            </w:r>
          </w:p>
        </w:tc>
      </w:tr>
      <w:tr w:rsidR="003E6546" w:rsidRPr="00536E9A" w:rsidTr="00536E9A">
        <w:trPr>
          <w:trHeight w:val="300"/>
        </w:trPr>
        <w:tc>
          <w:tcPr>
            <w:tcW w:w="482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3E6546" w:rsidRPr="00536E9A" w:rsidRDefault="003E6546" w:rsidP="00536E9A">
            <w:pPr>
              <w:spacing w:line="240" w:lineRule="auto"/>
              <w:jc w:val="both"/>
              <w:rPr>
                <w:rFonts w:ascii="Times New Roman" w:hAnsi="Times New Roman" w:cs="Times New Roman"/>
                <w:b/>
                <w:sz w:val="20"/>
                <w:szCs w:val="20"/>
              </w:rPr>
            </w:pPr>
            <w:r w:rsidRPr="00536E9A">
              <w:rPr>
                <w:rFonts w:ascii="Times New Roman" w:hAnsi="Times New Roman" w:cs="Times New Roman"/>
                <w:b/>
                <w:sz w:val="20"/>
                <w:szCs w:val="20"/>
              </w:rPr>
              <w:t>Ukupno:</w:t>
            </w:r>
          </w:p>
        </w:tc>
        <w:tc>
          <w:tcPr>
            <w:tcW w:w="1840" w:type="dxa"/>
            <w:tcBorders>
              <w:top w:val="single" w:sz="8" w:space="0" w:color="auto"/>
              <w:left w:val="nil"/>
              <w:bottom w:val="single" w:sz="8" w:space="0" w:color="auto"/>
              <w:right w:val="single" w:sz="8" w:space="0" w:color="auto"/>
            </w:tcBorders>
            <w:shd w:val="clear" w:color="auto" w:fill="FFFFCC"/>
            <w:vAlign w:val="center"/>
            <w:hideMark/>
          </w:tcPr>
          <w:p w:rsidR="003E6546" w:rsidRPr="00536E9A" w:rsidRDefault="003E6546" w:rsidP="00536E9A">
            <w:pPr>
              <w:spacing w:line="240" w:lineRule="auto"/>
              <w:jc w:val="right"/>
              <w:rPr>
                <w:rFonts w:ascii="Times New Roman" w:hAnsi="Times New Roman" w:cs="Times New Roman"/>
                <w:b/>
                <w:sz w:val="20"/>
                <w:szCs w:val="20"/>
              </w:rPr>
            </w:pPr>
            <w:r w:rsidRPr="00536E9A">
              <w:rPr>
                <w:rFonts w:ascii="Times New Roman" w:hAnsi="Times New Roman" w:cs="Times New Roman"/>
                <w:b/>
                <w:sz w:val="20"/>
                <w:szCs w:val="20"/>
              </w:rPr>
              <w:t>2.145.621</w:t>
            </w:r>
          </w:p>
        </w:tc>
        <w:tc>
          <w:tcPr>
            <w:tcW w:w="1560" w:type="dxa"/>
            <w:tcBorders>
              <w:top w:val="single" w:sz="8" w:space="0" w:color="auto"/>
              <w:left w:val="nil"/>
              <w:bottom w:val="single" w:sz="8" w:space="0" w:color="auto"/>
              <w:right w:val="single" w:sz="8" w:space="0" w:color="auto"/>
            </w:tcBorders>
            <w:shd w:val="clear" w:color="auto" w:fill="FFFFCC"/>
            <w:vAlign w:val="center"/>
            <w:hideMark/>
          </w:tcPr>
          <w:p w:rsidR="003E6546" w:rsidRPr="00536E9A" w:rsidRDefault="003E6546" w:rsidP="00536E9A">
            <w:pPr>
              <w:spacing w:line="240" w:lineRule="auto"/>
              <w:jc w:val="right"/>
              <w:rPr>
                <w:rFonts w:ascii="Times New Roman" w:hAnsi="Times New Roman" w:cs="Times New Roman"/>
                <w:b/>
                <w:sz w:val="20"/>
                <w:szCs w:val="20"/>
              </w:rPr>
            </w:pPr>
            <w:r w:rsidRPr="00536E9A">
              <w:rPr>
                <w:rFonts w:ascii="Times New Roman" w:hAnsi="Times New Roman" w:cs="Times New Roman"/>
                <w:b/>
                <w:sz w:val="20"/>
                <w:szCs w:val="20"/>
              </w:rPr>
              <w:t>774.967</w:t>
            </w:r>
          </w:p>
        </w:tc>
      </w:tr>
      <w:tr w:rsidR="003E6546" w:rsidRPr="00536E9A" w:rsidTr="00536E9A">
        <w:trPr>
          <w:trHeight w:val="300"/>
        </w:trPr>
        <w:tc>
          <w:tcPr>
            <w:tcW w:w="4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6546" w:rsidRPr="00536E9A" w:rsidRDefault="003E6546" w:rsidP="00536E9A">
            <w:pPr>
              <w:spacing w:line="240" w:lineRule="auto"/>
              <w:jc w:val="both"/>
              <w:rPr>
                <w:rFonts w:ascii="Times New Roman" w:hAnsi="Times New Roman" w:cs="Times New Roman"/>
                <w:sz w:val="20"/>
                <w:szCs w:val="20"/>
              </w:rPr>
            </w:pPr>
            <w:r w:rsidRPr="00536E9A">
              <w:rPr>
                <w:rFonts w:ascii="Times New Roman" w:hAnsi="Times New Roman" w:cs="Times New Roman"/>
                <w:sz w:val="20"/>
                <w:szCs w:val="20"/>
              </w:rPr>
              <w:t>Doznake partnerima (</w:t>
            </w:r>
            <w:proofErr w:type="spellStart"/>
            <w:r w:rsidRPr="00536E9A">
              <w:rPr>
                <w:rFonts w:ascii="Times New Roman" w:hAnsi="Times New Roman" w:cs="Times New Roman"/>
                <w:sz w:val="20"/>
                <w:szCs w:val="20"/>
              </w:rPr>
              <w:t>DigLog</w:t>
            </w:r>
            <w:proofErr w:type="spellEnd"/>
            <w:r w:rsidRPr="00536E9A">
              <w:rPr>
                <w:rFonts w:ascii="Times New Roman" w:hAnsi="Times New Roman" w:cs="Times New Roman"/>
                <w:sz w:val="20"/>
                <w:szCs w:val="20"/>
              </w:rPr>
              <w:t xml:space="preserve">, Pandora, </w:t>
            </w:r>
            <w:proofErr w:type="spellStart"/>
            <w:r w:rsidRPr="00536E9A">
              <w:rPr>
                <w:rFonts w:ascii="Times New Roman" w:hAnsi="Times New Roman" w:cs="Times New Roman"/>
                <w:sz w:val="20"/>
                <w:szCs w:val="20"/>
              </w:rPr>
              <w:t>Medusa</w:t>
            </w:r>
            <w:proofErr w:type="spellEnd"/>
            <w:r w:rsidRPr="00536E9A">
              <w:rPr>
                <w:rFonts w:ascii="Times New Roman" w:hAnsi="Times New Roman" w:cs="Times New Roman"/>
                <w:sz w:val="20"/>
                <w:szCs w:val="20"/>
              </w:rPr>
              <w:t>)</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3E6546" w:rsidRPr="00536E9A" w:rsidRDefault="003E6546" w:rsidP="00536E9A">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720.063</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3E6546" w:rsidRPr="00536E9A" w:rsidRDefault="003E6546" w:rsidP="00536E9A">
            <w:pPr>
              <w:spacing w:line="240" w:lineRule="auto"/>
              <w:jc w:val="right"/>
              <w:rPr>
                <w:rFonts w:ascii="Times New Roman" w:hAnsi="Times New Roman" w:cs="Times New Roman"/>
                <w:sz w:val="20"/>
                <w:szCs w:val="20"/>
              </w:rPr>
            </w:pPr>
            <w:r w:rsidRPr="00536E9A">
              <w:rPr>
                <w:rFonts w:ascii="Times New Roman" w:hAnsi="Times New Roman" w:cs="Times New Roman"/>
                <w:sz w:val="20"/>
                <w:szCs w:val="20"/>
              </w:rPr>
              <w:t>11.921</w:t>
            </w:r>
          </w:p>
        </w:tc>
      </w:tr>
      <w:tr w:rsidR="003E6546" w:rsidRPr="00536E9A" w:rsidTr="003E6546">
        <w:trPr>
          <w:trHeight w:val="30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3E6546" w:rsidRPr="00536E9A" w:rsidRDefault="003E6546" w:rsidP="00536E9A">
            <w:pPr>
              <w:spacing w:line="240" w:lineRule="auto"/>
              <w:jc w:val="both"/>
              <w:rPr>
                <w:rFonts w:ascii="Times New Roman" w:hAnsi="Times New Roman" w:cs="Times New Roman"/>
                <w:b/>
                <w:sz w:val="20"/>
                <w:szCs w:val="20"/>
              </w:rPr>
            </w:pPr>
            <w:r w:rsidRPr="00536E9A">
              <w:rPr>
                <w:rFonts w:ascii="Times New Roman" w:hAnsi="Times New Roman" w:cs="Times New Roman"/>
                <w:b/>
                <w:sz w:val="20"/>
                <w:szCs w:val="20"/>
              </w:rPr>
              <w:t>Ukupno:</w:t>
            </w:r>
          </w:p>
        </w:tc>
        <w:tc>
          <w:tcPr>
            <w:tcW w:w="1840" w:type="dxa"/>
            <w:tcBorders>
              <w:top w:val="nil"/>
              <w:left w:val="nil"/>
              <w:bottom w:val="single" w:sz="8" w:space="0" w:color="auto"/>
              <w:right w:val="single" w:sz="8" w:space="0" w:color="auto"/>
            </w:tcBorders>
            <w:shd w:val="clear" w:color="auto" w:fill="auto"/>
            <w:vAlign w:val="center"/>
            <w:hideMark/>
          </w:tcPr>
          <w:p w:rsidR="003E6546" w:rsidRPr="00536E9A" w:rsidRDefault="003E6546" w:rsidP="00536E9A">
            <w:pPr>
              <w:spacing w:line="240" w:lineRule="auto"/>
              <w:jc w:val="right"/>
              <w:rPr>
                <w:rFonts w:ascii="Times New Roman" w:hAnsi="Times New Roman" w:cs="Times New Roman"/>
                <w:b/>
                <w:sz w:val="20"/>
                <w:szCs w:val="20"/>
              </w:rPr>
            </w:pPr>
            <w:r w:rsidRPr="00536E9A">
              <w:rPr>
                <w:rFonts w:ascii="Times New Roman" w:hAnsi="Times New Roman" w:cs="Times New Roman"/>
                <w:b/>
                <w:sz w:val="20"/>
                <w:szCs w:val="20"/>
              </w:rPr>
              <w:t>1.425.558</w:t>
            </w:r>
          </w:p>
        </w:tc>
        <w:tc>
          <w:tcPr>
            <w:tcW w:w="1560" w:type="dxa"/>
            <w:tcBorders>
              <w:top w:val="nil"/>
              <w:left w:val="nil"/>
              <w:bottom w:val="single" w:sz="8" w:space="0" w:color="auto"/>
              <w:right w:val="single" w:sz="8" w:space="0" w:color="auto"/>
            </w:tcBorders>
            <w:shd w:val="clear" w:color="auto" w:fill="auto"/>
            <w:vAlign w:val="center"/>
            <w:hideMark/>
          </w:tcPr>
          <w:p w:rsidR="003E6546" w:rsidRPr="00536E9A" w:rsidRDefault="003E6546" w:rsidP="00536E9A">
            <w:pPr>
              <w:spacing w:line="240" w:lineRule="auto"/>
              <w:jc w:val="right"/>
              <w:rPr>
                <w:rFonts w:ascii="Times New Roman" w:hAnsi="Times New Roman" w:cs="Times New Roman"/>
                <w:b/>
                <w:sz w:val="20"/>
                <w:szCs w:val="20"/>
              </w:rPr>
            </w:pPr>
            <w:r w:rsidRPr="00536E9A">
              <w:rPr>
                <w:rFonts w:ascii="Times New Roman" w:hAnsi="Times New Roman" w:cs="Times New Roman"/>
                <w:b/>
                <w:sz w:val="20"/>
                <w:szCs w:val="20"/>
              </w:rPr>
              <w:t>763.046</w:t>
            </w:r>
          </w:p>
        </w:tc>
      </w:tr>
    </w:tbl>
    <w:p w:rsidR="003E6546" w:rsidRDefault="003E6546" w:rsidP="00C34087">
      <w:pPr>
        <w:spacing w:line="240" w:lineRule="auto"/>
        <w:jc w:val="both"/>
        <w:rPr>
          <w:rFonts w:ascii="Times New Roman" w:hAnsi="Times New Roman" w:cs="Times New Roman"/>
          <w:sz w:val="24"/>
          <w:szCs w:val="24"/>
        </w:rPr>
      </w:pPr>
    </w:p>
    <w:p w:rsidR="003E6546" w:rsidRDefault="003E6546" w:rsidP="00C34087">
      <w:pPr>
        <w:spacing w:line="240" w:lineRule="auto"/>
        <w:jc w:val="both"/>
        <w:rPr>
          <w:rFonts w:ascii="Times New Roman" w:hAnsi="Times New Roman" w:cs="Times New Roman"/>
          <w:sz w:val="24"/>
          <w:szCs w:val="24"/>
        </w:rPr>
      </w:pPr>
      <w:r>
        <w:rPr>
          <w:noProof/>
        </w:rPr>
        <w:drawing>
          <wp:inline distT="0" distB="0" distL="0" distR="0" wp14:anchorId="3BB6D184" wp14:editId="14CED56F">
            <wp:extent cx="5385435" cy="2979420"/>
            <wp:effectExtent l="0" t="0" r="5715" b="11430"/>
            <wp:docPr id="2" name="Grafikon 2">
              <a:extLst xmlns:a="http://schemas.openxmlformats.org/drawingml/2006/main">
                <a:ext uri="{FF2B5EF4-FFF2-40B4-BE49-F238E27FC236}">
                  <a16:creationId xmlns:a16="http://schemas.microsoft.com/office/drawing/2014/main" id="{DB5EB85B-6A52-4199-877D-7BED949B8D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24EE" w:rsidRPr="00843880" w:rsidRDefault="004224EE" w:rsidP="00C34087">
      <w:pPr>
        <w:spacing w:line="240" w:lineRule="auto"/>
        <w:jc w:val="both"/>
        <w:rPr>
          <w:rFonts w:ascii="Times New Roman" w:hAnsi="Times New Roman" w:cs="Times New Roman"/>
          <w:sz w:val="24"/>
          <w:szCs w:val="24"/>
        </w:rPr>
      </w:pPr>
    </w:p>
    <w:p w:rsidR="005C1261" w:rsidRDefault="00843880" w:rsidP="009E5FF3">
      <w:pPr>
        <w:jc w:val="both"/>
        <w:rPr>
          <w:rFonts w:ascii="Times New Roman" w:hAnsi="Times New Roman" w:cs="Times New Roman"/>
          <w:sz w:val="24"/>
          <w:szCs w:val="24"/>
        </w:rPr>
      </w:pPr>
      <w:r w:rsidRPr="00843880">
        <w:rPr>
          <w:rFonts w:ascii="Times New Roman" w:hAnsi="Times New Roman" w:cs="Times New Roman"/>
          <w:b/>
          <w:sz w:val="24"/>
          <w:szCs w:val="24"/>
        </w:rPr>
        <w:t>PRIHODI OD DONACIJA</w:t>
      </w:r>
      <w:r w:rsidRPr="00843880">
        <w:rPr>
          <w:rFonts w:ascii="Times New Roman" w:hAnsi="Times New Roman" w:cs="Times New Roman"/>
          <w:sz w:val="24"/>
          <w:szCs w:val="24"/>
        </w:rPr>
        <w:t xml:space="preserve"> </w:t>
      </w:r>
      <w:r w:rsidR="005C1261">
        <w:rPr>
          <w:rFonts w:ascii="Times New Roman" w:hAnsi="Times New Roman" w:cs="Times New Roman"/>
          <w:sz w:val="24"/>
          <w:szCs w:val="24"/>
        </w:rPr>
        <w:t>manji</w:t>
      </w:r>
      <w:r w:rsidR="005C1261" w:rsidRPr="005C1261">
        <w:rPr>
          <w:rFonts w:ascii="Times New Roman" w:hAnsi="Times New Roman" w:cs="Times New Roman"/>
          <w:sz w:val="24"/>
          <w:szCs w:val="24"/>
        </w:rPr>
        <w:t xml:space="preserve"> su za 52,10%  zbog završetka projekta CEKOM, čiji je vodeći partner SMART RI d.o.o. doznačio sredstva temeljem posljednjeg zahtjev</w:t>
      </w:r>
      <w:r w:rsidR="005C1261">
        <w:rPr>
          <w:rFonts w:ascii="Times New Roman" w:hAnsi="Times New Roman" w:cs="Times New Roman"/>
          <w:sz w:val="24"/>
          <w:szCs w:val="24"/>
        </w:rPr>
        <w:t>a</w:t>
      </w:r>
      <w:r w:rsidR="005C1261" w:rsidRPr="005C1261">
        <w:rPr>
          <w:rFonts w:ascii="Times New Roman" w:hAnsi="Times New Roman" w:cs="Times New Roman"/>
          <w:sz w:val="24"/>
          <w:szCs w:val="24"/>
        </w:rPr>
        <w:t xml:space="preserve"> za nadoknadu sredstava u iznosu  od 57.770</w:t>
      </w:r>
      <w:r w:rsidR="005C1261">
        <w:rPr>
          <w:rFonts w:ascii="Times New Roman" w:hAnsi="Times New Roman" w:cs="Times New Roman"/>
          <w:sz w:val="24"/>
          <w:szCs w:val="24"/>
        </w:rPr>
        <w:t xml:space="preserve"> EUR</w:t>
      </w:r>
      <w:r w:rsidR="005C1261" w:rsidRPr="005C1261">
        <w:rPr>
          <w:rFonts w:ascii="Times New Roman" w:hAnsi="Times New Roman" w:cs="Times New Roman"/>
          <w:sz w:val="24"/>
          <w:szCs w:val="24"/>
        </w:rPr>
        <w:t xml:space="preserve"> , dok se iznos od 5.35</w:t>
      </w:r>
      <w:r w:rsidR="009E5FF3">
        <w:rPr>
          <w:rFonts w:ascii="Times New Roman" w:hAnsi="Times New Roman" w:cs="Times New Roman"/>
          <w:sz w:val="24"/>
          <w:szCs w:val="24"/>
        </w:rPr>
        <w:t>4</w:t>
      </w:r>
      <w:r w:rsidR="005C1261" w:rsidRPr="005C1261">
        <w:rPr>
          <w:rFonts w:ascii="Times New Roman" w:hAnsi="Times New Roman" w:cs="Times New Roman"/>
          <w:sz w:val="24"/>
          <w:szCs w:val="24"/>
        </w:rPr>
        <w:t xml:space="preserve"> </w:t>
      </w:r>
      <w:r w:rsidR="00885BCD">
        <w:rPr>
          <w:rFonts w:ascii="Times New Roman" w:hAnsi="Times New Roman" w:cs="Times New Roman"/>
          <w:sz w:val="24"/>
          <w:szCs w:val="24"/>
        </w:rPr>
        <w:t>EUR</w:t>
      </w:r>
      <w:r w:rsidR="005C1261" w:rsidRPr="005C1261">
        <w:rPr>
          <w:rFonts w:ascii="Times New Roman" w:hAnsi="Times New Roman" w:cs="Times New Roman"/>
          <w:sz w:val="24"/>
          <w:szCs w:val="24"/>
        </w:rPr>
        <w:t xml:space="preserve"> odnosi na donacije fizičkih osoba i trgovačkih društava za  organizaciju Bala pomoraca od strane Studentskog zbora Pomorskog fakulteta.</w:t>
      </w:r>
    </w:p>
    <w:p w:rsidR="005C1261" w:rsidRPr="005C1261" w:rsidRDefault="005C1261" w:rsidP="005C1261">
      <w:pPr>
        <w:rPr>
          <w:rFonts w:ascii="Times New Roman" w:hAnsi="Times New Roman" w:cs="Times New Roman"/>
          <w:b/>
          <w:sz w:val="24"/>
          <w:szCs w:val="24"/>
        </w:rPr>
      </w:pPr>
      <w:r w:rsidRPr="005C1261">
        <w:rPr>
          <w:rFonts w:ascii="Times New Roman" w:hAnsi="Times New Roman" w:cs="Times New Roman"/>
          <w:b/>
          <w:sz w:val="24"/>
          <w:szCs w:val="24"/>
        </w:rPr>
        <w:t>Detalj</w:t>
      </w:r>
      <w:r w:rsidR="00CE2543">
        <w:rPr>
          <w:rFonts w:ascii="Times New Roman" w:hAnsi="Times New Roman" w:cs="Times New Roman"/>
          <w:b/>
          <w:sz w:val="24"/>
          <w:szCs w:val="24"/>
        </w:rPr>
        <w:t>a</w:t>
      </w:r>
      <w:r w:rsidRPr="005C1261">
        <w:rPr>
          <w:rFonts w:ascii="Times New Roman" w:hAnsi="Times New Roman" w:cs="Times New Roman"/>
          <w:b/>
          <w:sz w:val="24"/>
          <w:szCs w:val="24"/>
        </w:rPr>
        <w:t xml:space="preserve">n prikaz sredstava </w:t>
      </w:r>
      <w:r w:rsidR="00FB173D">
        <w:rPr>
          <w:rFonts w:ascii="Times New Roman" w:hAnsi="Times New Roman" w:cs="Times New Roman"/>
          <w:b/>
          <w:sz w:val="24"/>
          <w:szCs w:val="24"/>
        </w:rPr>
        <w:t xml:space="preserve">ESF, </w:t>
      </w:r>
      <w:r w:rsidRPr="005C1261">
        <w:rPr>
          <w:rFonts w:ascii="Times New Roman" w:hAnsi="Times New Roman" w:cs="Times New Roman"/>
          <w:b/>
          <w:sz w:val="24"/>
          <w:szCs w:val="24"/>
        </w:rPr>
        <w:t>Pomoći</w:t>
      </w:r>
      <w:r w:rsidR="00FB173D">
        <w:rPr>
          <w:rFonts w:ascii="Times New Roman" w:hAnsi="Times New Roman" w:cs="Times New Roman"/>
          <w:b/>
          <w:sz w:val="24"/>
          <w:szCs w:val="24"/>
        </w:rPr>
        <w:t xml:space="preserve"> </w:t>
      </w:r>
      <w:r>
        <w:rPr>
          <w:rFonts w:ascii="Times New Roman" w:hAnsi="Times New Roman" w:cs="Times New Roman"/>
          <w:b/>
          <w:sz w:val="24"/>
          <w:szCs w:val="24"/>
        </w:rPr>
        <w:t>i Ostalih pomoći</w:t>
      </w:r>
      <w:r w:rsidR="009E5FF3">
        <w:rPr>
          <w:rFonts w:ascii="Times New Roman" w:hAnsi="Times New Roman" w:cs="Times New Roman"/>
          <w:b/>
          <w:sz w:val="24"/>
          <w:szCs w:val="24"/>
        </w:rPr>
        <w:t xml:space="preserve"> od EU projekata</w:t>
      </w:r>
      <w:r w:rsidRPr="005C1261">
        <w:rPr>
          <w:rFonts w:ascii="Times New Roman" w:hAnsi="Times New Roman" w:cs="Times New Roman"/>
          <w:b/>
          <w:sz w:val="24"/>
          <w:szCs w:val="24"/>
        </w:rPr>
        <w:t xml:space="preserve"> </w:t>
      </w:r>
      <w:r w:rsidR="00885BCD">
        <w:rPr>
          <w:rFonts w:ascii="Times New Roman" w:hAnsi="Times New Roman" w:cs="Times New Roman"/>
          <w:b/>
          <w:sz w:val="24"/>
          <w:szCs w:val="24"/>
        </w:rPr>
        <w:t xml:space="preserve">dat </w:t>
      </w:r>
      <w:r w:rsidRPr="005C1261">
        <w:rPr>
          <w:rFonts w:ascii="Times New Roman" w:hAnsi="Times New Roman" w:cs="Times New Roman"/>
          <w:b/>
          <w:sz w:val="24"/>
          <w:szCs w:val="24"/>
        </w:rPr>
        <w:t xml:space="preserve">je u </w:t>
      </w:r>
      <w:r w:rsidR="00FB173D">
        <w:rPr>
          <w:rFonts w:ascii="Times New Roman" w:hAnsi="Times New Roman" w:cs="Times New Roman"/>
          <w:b/>
          <w:sz w:val="24"/>
          <w:szCs w:val="24"/>
        </w:rPr>
        <w:t>I</w:t>
      </w:r>
      <w:r w:rsidRPr="005C1261">
        <w:rPr>
          <w:rFonts w:ascii="Times New Roman" w:hAnsi="Times New Roman" w:cs="Times New Roman"/>
          <w:b/>
          <w:sz w:val="24"/>
          <w:szCs w:val="24"/>
        </w:rPr>
        <w:t xml:space="preserve">zvještaju u korištenju sredstava fondova Europske unije. </w:t>
      </w:r>
    </w:p>
    <w:p w:rsidR="004518C9" w:rsidRDefault="00843880" w:rsidP="00843880">
      <w:pPr>
        <w:spacing w:line="240" w:lineRule="auto"/>
        <w:jc w:val="both"/>
        <w:rPr>
          <w:rFonts w:ascii="Times New Roman" w:hAnsi="Times New Roman" w:cs="Times New Roman"/>
          <w:sz w:val="24"/>
          <w:szCs w:val="24"/>
        </w:rPr>
      </w:pPr>
      <w:r w:rsidRPr="00843880">
        <w:rPr>
          <w:rFonts w:ascii="Times New Roman" w:hAnsi="Times New Roman" w:cs="Times New Roman"/>
          <w:b/>
          <w:sz w:val="24"/>
          <w:szCs w:val="24"/>
        </w:rPr>
        <w:lastRenderedPageBreak/>
        <w:t xml:space="preserve">PRIHODI OD PRODAJE NEFINANCIJSKE IMOVINE </w:t>
      </w:r>
      <w:r w:rsidRPr="00843880">
        <w:rPr>
          <w:rFonts w:ascii="Times New Roman" w:hAnsi="Times New Roman" w:cs="Times New Roman"/>
          <w:sz w:val="24"/>
          <w:szCs w:val="24"/>
        </w:rPr>
        <w:t xml:space="preserve">odnose se na prodaju stanova na kojima postoji stanarsko pravo, a temeljem sklopljenih ugovora o kupoprodaji. Ovi prihodi ostvareni su iznosu od </w:t>
      </w:r>
      <w:r w:rsidR="004518C9">
        <w:rPr>
          <w:rFonts w:ascii="Times New Roman" w:hAnsi="Times New Roman" w:cs="Times New Roman"/>
          <w:sz w:val="24"/>
          <w:szCs w:val="24"/>
        </w:rPr>
        <w:t>549 EUR</w:t>
      </w:r>
      <w:r w:rsidRPr="00843880">
        <w:rPr>
          <w:rFonts w:ascii="Times New Roman" w:hAnsi="Times New Roman" w:cs="Times New Roman"/>
          <w:sz w:val="24"/>
          <w:szCs w:val="24"/>
        </w:rPr>
        <w:t xml:space="preserve"> što predstavlja 35% ukupno naplaćenog iznosa, jer se ostatak  iznosa uplaćuje na račun Državnog proračuna. </w:t>
      </w:r>
      <w:bookmarkStart w:id="1" w:name="_Hlk127434142"/>
    </w:p>
    <w:bookmarkEnd w:id="1"/>
    <w:p w:rsidR="003E6546" w:rsidRDefault="003E6546" w:rsidP="003E6546">
      <w:pPr>
        <w:spacing w:line="240" w:lineRule="auto"/>
        <w:ind w:firstLine="708"/>
        <w:jc w:val="both"/>
        <w:rPr>
          <w:rFonts w:ascii="Times New Roman" w:hAnsi="Times New Roman" w:cs="Times New Roman"/>
          <w:b/>
          <w:sz w:val="24"/>
          <w:szCs w:val="24"/>
        </w:rPr>
      </w:pPr>
    </w:p>
    <w:p w:rsidR="00843880" w:rsidRPr="00843880" w:rsidRDefault="00843880" w:rsidP="003E6546">
      <w:pPr>
        <w:spacing w:line="240" w:lineRule="auto"/>
        <w:ind w:firstLine="708"/>
        <w:jc w:val="both"/>
        <w:rPr>
          <w:rFonts w:ascii="Times New Roman" w:hAnsi="Times New Roman" w:cs="Times New Roman"/>
          <w:b/>
          <w:sz w:val="24"/>
          <w:szCs w:val="24"/>
        </w:rPr>
      </w:pPr>
      <w:r w:rsidRPr="00843880">
        <w:rPr>
          <w:rFonts w:ascii="Times New Roman" w:hAnsi="Times New Roman" w:cs="Times New Roman"/>
          <w:b/>
          <w:sz w:val="24"/>
          <w:szCs w:val="24"/>
        </w:rPr>
        <w:t>II</w:t>
      </w:r>
      <w:r w:rsidR="003E6546">
        <w:rPr>
          <w:rFonts w:ascii="Times New Roman" w:hAnsi="Times New Roman" w:cs="Times New Roman"/>
          <w:b/>
          <w:sz w:val="24"/>
          <w:szCs w:val="24"/>
        </w:rPr>
        <w:t>.</w:t>
      </w:r>
      <w:r w:rsidRPr="00843880">
        <w:rPr>
          <w:rFonts w:ascii="Times New Roman" w:hAnsi="Times New Roman" w:cs="Times New Roman"/>
          <w:b/>
          <w:sz w:val="24"/>
          <w:szCs w:val="24"/>
        </w:rPr>
        <w:t xml:space="preserve"> RASHODI</w:t>
      </w:r>
    </w:p>
    <w:p w:rsidR="00843880" w:rsidRPr="00843880" w:rsidRDefault="00843880" w:rsidP="005934DF">
      <w:pPr>
        <w:spacing w:after="0" w:line="240" w:lineRule="auto"/>
        <w:jc w:val="both"/>
        <w:rPr>
          <w:rFonts w:ascii="Times New Roman" w:hAnsi="Times New Roman" w:cs="Times New Roman"/>
          <w:sz w:val="24"/>
          <w:szCs w:val="24"/>
        </w:rPr>
      </w:pPr>
      <w:r w:rsidRPr="00843880">
        <w:rPr>
          <w:rFonts w:ascii="Times New Roman" w:hAnsi="Times New Roman" w:cs="Times New Roman"/>
          <w:b/>
          <w:sz w:val="24"/>
          <w:szCs w:val="24"/>
        </w:rPr>
        <w:t>Ukupni rashodi</w:t>
      </w:r>
      <w:r w:rsidRPr="00843880">
        <w:rPr>
          <w:rFonts w:ascii="Times New Roman" w:hAnsi="Times New Roman" w:cs="Times New Roman"/>
          <w:sz w:val="24"/>
          <w:szCs w:val="24"/>
        </w:rPr>
        <w:t xml:space="preserve"> </w:t>
      </w:r>
      <w:r w:rsidRPr="00843880">
        <w:rPr>
          <w:rFonts w:ascii="Times New Roman" w:hAnsi="Times New Roman" w:cs="Times New Roman"/>
          <w:b/>
          <w:sz w:val="24"/>
          <w:szCs w:val="24"/>
        </w:rPr>
        <w:t>u 202</w:t>
      </w:r>
      <w:r w:rsidR="005C1261">
        <w:rPr>
          <w:rFonts w:ascii="Times New Roman" w:hAnsi="Times New Roman" w:cs="Times New Roman"/>
          <w:b/>
          <w:sz w:val="24"/>
          <w:szCs w:val="24"/>
        </w:rPr>
        <w:t>3</w:t>
      </w:r>
      <w:r w:rsidRPr="00843880">
        <w:rPr>
          <w:rFonts w:ascii="Times New Roman" w:hAnsi="Times New Roman" w:cs="Times New Roman"/>
          <w:b/>
          <w:sz w:val="24"/>
          <w:szCs w:val="24"/>
        </w:rPr>
        <w:t xml:space="preserve">. godini izvršeni su u iznosu od </w:t>
      </w:r>
      <w:r w:rsidR="005C1261">
        <w:rPr>
          <w:rFonts w:ascii="Times New Roman" w:hAnsi="Times New Roman" w:cs="Times New Roman"/>
          <w:b/>
          <w:sz w:val="24"/>
          <w:szCs w:val="24"/>
        </w:rPr>
        <w:t>6.241.828 EUR</w:t>
      </w:r>
      <w:r w:rsidRPr="00843880">
        <w:rPr>
          <w:rFonts w:ascii="Times New Roman" w:hAnsi="Times New Roman" w:cs="Times New Roman"/>
          <w:b/>
          <w:sz w:val="24"/>
          <w:szCs w:val="24"/>
        </w:rPr>
        <w:t xml:space="preserve"> i </w:t>
      </w:r>
      <w:r w:rsidR="005C1261">
        <w:rPr>
          <w:rFonts w:ascii="Times New Roman" w:hAnsi="Times New Roman" w:cs="Times New Roman"/>
          <w:b/>
          <w:sz w:val="24"/>
          <w:szCs w:val="24"/>
        </w:rPr>
        <w:t>čine</w:t>
      </w:r>
      <w:r w:rsidRPr="00843880">
        <w:rPr>
          <w:rFonts w:ascii="Times New Roman" w:hAnsi="Times New Roman" w:cs="Times New Roman"/>
          <w:b/>
          <w:sz w:val="24"/>
          <w:szCs w:val="24"/>
        </w:rPr>
        <w:t xml:space="preserve"> ih:</w:t>
      </w:r>
      <w:r w:rsidRPr="00843880">
        <w:rPr>
          <w:rFonts w:ascii="Times New Roman" w:hAnsi="Times New Roman" w:cs="Times New Roman"/>
          <w:sz w:val="24"/>
          <w:szCs w:val="24"/>
        </w:rPr>
        <w:t xml:space="preserve"> </w:t>
      </w:r>
    </w:p>
    <w:p w:rsidR="00843880" w:rsidRPr="00843880" w:rsidRDefault="00843880" w:rsidP="005934DF">
      <w:pPr>
        <w:numPr>
          <w:ilvl w:val="0"/>
          <w:numId w:val="5"/>
        </w:numPr>
        <w:spacing w:after="0" w:line="240" w:lineRule="auto"/>
        <w:jc w:val="both"/>
        <w:rPr>
          <w:rFonts w:ascii="Times New Roman" w:hAnsi="Times New Roman" w:cs="Times New Roman"/>
          <w:b/>
          <w:sz w:val="24"/>
          <w:szCs w:val="24"/>
        </w:rPr>
      </w:pPr>
      <w:r w:rsidRPr="00843880">
        <w:rPr>
          <w:rFonts w:ascii="Times New Roman" w:hAnsi="Times New Roman" w:cs="Times New Roman"/>
          <w:b/>
          <w:sz w:val="24"/>
          <w:szCs w:val="24"/>
        </w:rPr>
        <w:t xml:space="preserve">rashodi poslovanja u iznosu od </w:t>
      </w:r>
      <w:r w:rsidR="005C1261">
        <w:rPr>
          <w:rFonts w:ascii="Times New Roman" w:hAnsi="Times New Roman" w:cs="Times New Roman"/>
          <w:b/>
          <w:sz w:val="24"/>
          <w:szCs w:val="24"/>
        </w:rPr>
        <w:t>5.982.361 EUR</w:t>
      </w:r>
      <w:r w:rsidRPr="00843880">
        <w:rPr>
          <w:rFonts w:ascii="Times New Roman" w:hAnsi="Times New Roman" w:cs="Times New Roman"/>
          <w:b/>
          <w:sz w:val="24"/>
          <w:szCs w:val="24"/>
        </w:rPr>
        <w:t xml:space="preserve"> i </w:t>
      </w:r>
    </w:p>
    <w:p w:rsidR="00843880" w:rsidRPr="00843880" w:rsidRDefault="00843880" w:rsidP="005934DF">
      <w:pPr>
        <w:numPr>
          <w:ilvl w:val="0"/>
          <w:numId w:val="5"/>
        </w:numPr>
        <w:spacing w:after="0" w:line="240" w:lineRule="auto"/>
        <w:jc w:val="both"/>
        <w:rPr>
          <w:rFonts w:ascii="Times New Roman" w:hAnsi="Times New Roman" w:cs="Times New Roman"/>
          <w:b/>
          <w:sz w:val="24"/>
          <w:szCs w:val="24"/>
        </w:rPr>
      </w:pPr>
      <w:r w:rsidRPr="00843880">
        <w:rPr>
          <w:rFonts w:ascii="Times New Roman" w:hAnsi="Times New Roman" w:cs="Times New Roman"/>
          <w:b/>
          <w:sz w:val="24"/>
          <w:szCs w:val="24"/>
        </w:rPr>
        <w:t xml:space="preserve">rashodi za nabavu dugotrajne nefinancijske imovine u iznosu od </w:t>
      </w:r>
      <w:r w:rsidR="005C1261">
        <w:rPr>
          <w:rFonts w:ascii="Times New Roman" w:hAnsi="Times New Roman" w:cs="Times New Roman"/>
          <w:b/>
          <w:sz w:val="24"/>
          <w:szCs w:val="24"/>
        </w:rPr>
        <w:t>259.466 EUR</w:t>
      </w:r>
      <w:r w:rsidRPr="00843880">
        <w:rPr>
          <w:rFonts w:ascii="Times New Roman" w:hAnsi="Times New Roman" w:cs="Times New Roman"/>
          <w:b/>
          <w:sz w:val="24"/>
          <w:szCs w:val="24"/>
        </w:rPr>
        <w:t xml:space="preserve">. </w:t>
      </w:r>
    </w:p>
    <w:p w:rsidR="00843880" w:rsidRPr="00843880" w:rsidRDefault="00843880" w:rsidP="00843880">
      <w:pPr>
        <w:spacing w:line="240" w:lineRule="auto"/>
        <w:jc w:val="both"/>
        <w:rPr>
          <w:rFonts w:ascii="Times New Roman" w:hAnsi="Times New Roman" w:cs="Times New Roman"/>
          <w:b/>
          <w:sz w:val="24"/>
          <w:szCs w:val="24"/>
        </w:rPr>
      </w:pPr>
    </w:p>
    <w:p w:rsidR="00843880" w:rsidRPr="00843880" w:rsidRDefault="00843880" w:rsidP="00843880">
      <w:pPr>
        <w:spacing w:line="240" w:lineRule="auto"/>
        <w:jc w:val="both"/>
        <w:rPr>
          <w:rFonts w:ascii="Times New Roman" w:hAnsi="Times New Roman" w:cs="Times New Roman"/>
          <w:b/>
          <w:sz w:val="24"/>
          <w:szCs w:val="24"/>
        </w:rPr>
      </w:pPr>
      <w:r w:rsidRPr="00843880">
        <w:rPr>
          <w:rFonts w:ascii="Times New Roman" w:hAnsi="Times New Roman" w:cs="Times New Roman"/>
          <w:b/>
          <w:sz w:val="24"/>
          <w:szCs w:val="24"/>
        </w:rPr>
        <w:t>RASHODI POSLOVANJA</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Rashodi za zaposlene</w:t>
      </w:r>
      <w:r w:rsidRPr="005934DF">
        <w:rPr>
          <w:rFonts w:ascii="Times New Roman" w:hAnsi="Times New Roman" w:cs="Times New Roman"/>
          <w:sz w:val="24"/>
          <w:szCs w:val="24"/>
        </w:rPr>
        <w:t xml:space="preserve"> iznose </w:t>
      </w:r>
      <w:r w:rsidR="009E5FF3">
        <w:rPr>
          <w:rFonts w:ascii="Times New Roman" w:hAnsi="Times New Roman" w:cs="Times New Roman"/>
          <w:sz w:val="24"/>
          <w:szCs w:val="24"/>
        </w:rPr>
        <w:t>4.486.351</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i veći su za </w:t>
      </w:r>
      <w:r w:rsidR="009E5FF3">
        <w:rPr>
          <w:rFonts w:ascii="Times New Roman" w:hAnsi="Times New Roman" w:cs="Times New Roman"/>
          <w:sz w:val="24"/>
          <w:szCs w:val="24"/>
        </w:rPr>
        <w:t>8,79</w:t>
      </w:r>
      <w:r w:rsidRPr="005934DF">
        <w:rPr>
          <w:rFonts w:ascii="Times New Roman" w:hAnsi="Times New Roman" w:cs="Times New Roman"/>
          <w:sz w:val="24"/>
          <w:szCs w:val="24"/>
        </w:rPr>
        <w:t xml:space="preserve">% dijelom zbog povećanja osnovice za izračun plaća javnih službenika i namještenika što je utjecalo na povećanje ukupne mase plaća. U iskazanom iznosu sadržane su bruto plaće zaposlenika Fakulteta na teret državnog proračuna kao i zaposlenika na teret vlastitih sredstava i sredstava EU projekata, uključujući stimulacije plaće temeljem Pravilnika o plaćama i drugim primanjima Fakulteta, te  dodaci na plaću za djelatnike koji drže predavanja na tečajevima izobrazbe za pomorce. </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Plaće u naravi</w:t>
      </w:r>
      <w:r w:rsidRPr="005934DF">
        <w:rPr>
          <w:rFonts w:ascii="Times New Roman" w:hAnsi="Times New Roman" w:cs="Times New Roman"/>
          <w:sz w:val="24"/>
          <w:szCs w:val="24"/>
        </w:rPr>
        <w:t xml:space="preserve"> odnose se </w:t>
      </w:r>
      <w:r w:rsidR="009E5FF3">
        <w:rPr>
          <w:rFonts w:ascii="Times New Roman" w:hAnsi="Times New Roman" w:cs="Times New Roman"/>
          <w:sz w:val="24"/>
          <w:szCs w:val="24"/>
        </w:rPr>
        <w:t xml:space="preserve">na putna </w:t>
      </w:r>
      <w:r w:rsidRPr="005934DF">
        <w:rPr>
          <w:rFonts w:ascii="Times New Roman" w:hAnsi="Times New Roman" w:cs="Times New Roman"/>
          <w:sz w:val="24"/>
          <w:szCs w:val="24"/>
        </w:rPr>
        <w:t xml:space="preserve">osiguranja </w:t>
      </w:r>
      <w:r w:rsidR="009E5FF3">
        <w:rPr>
          <w:rFonts w:ascii="Times New Roman" w:hAnsi="Times New Roman" w:cs="Times New Roman"/>
          <w:sz w:val="24"/>
          <w:szCs w:val="24"/>
        </w:rPr>
        <w:t xml:space="preserve">i </w:t>
      </w:r>
      <w:r w:rsidR="009E5FF3" w:rsidRPr="005934DF">
        <w:rPr>
          <w:rFonts w:ascii="Times New Roman" w:hAnsi="Times New Roman" w:cs="Times New Roman"/>
          <w:sz w:val="24"/>
          <w:szCs w:val="24"/>
        </w:rPr>
        <w:t xml:space="preserve">članarine </w:t>
      </w:r>
      <w:r w:rsidRPr="005934DF">
        <w:rPr>
          <w:rFonts w:ascii="Times New Roman" w:hAnsi="Times New Roman" w:cs="Times New Roman"/>
          <w:sz w:val="24"/>
          <w:szCs w:val="24"/>
        </w:rPr>
        <w:t xml:space="preserve">plaćene za nastavno osoblje za članstvo u pojedinim u strukovnim udruženjima na koje su </w:t>
      </w:r>
      <w:r w:rsidR="009E5FF3">
        <w:rPr>
          <w:rFonts w:ascii="Times New Roman" w:hAnsi="Times New Roman" w:cs="Times New Roman"/>
          <w:sz w:val="24"/>
          <w:szCs w:val="24"/>
        </w:rPr>
        <w:t>obračunati</w:t>
      </w:r>
      <w:r w:rsidRPr="005934DF">
        <w:rPr>
          <w:rFonts w:ascii="Times New Roman" w:hAnsi="Times New Roman" w:cs="Times New Roman"/>
          <w:sz w:val="24"/>
          <w:szCs w:val="24"/>
        </w:rPr>
        <w:t xml:space="preserve"> pripadajući porezi i doprinosi, a sve u ukupnom iznosu od </w:t>
      </w:r>
      <w:r w:rsidR="009E5FF3">
        <w:rPr>
          <w:rFonts w:ascii="Times New Roman" w:hAnsi="Times New Roman" w:cs="Times New Roman"/>
          <w:sz w:val="24"/>
          <w:szCs w:val="24"/>
        </w:rPr>
        <w:t>4.709</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Plaće za posebne uvjete rad</w:t>
      </w:r>
      <w:r>
        <w:rPr>
          <w:rFonts w:ascii="Times New Roman" w:hAnsi="Times New Roman" w:cs="Times New Roman"/>
          <w:b/>
          <w:sz w:val="24"/>
          <w:szCs w:val="24"/>
        </w:rPr>
        <w:t>a</w:t>
      </w:r>
      <w:r w:rsidRPr="005934DF">
        <w:rPr>
          <w:rFonts w:ascii="Times New Roman" w:hAnsi="Times New Roman" w:cs="Times New Roman"/>
          <w:sz w:val="24"/>
          <w:szCs w:val="24"/>
        </w:rPr>
        <w:t xml:space="preserve"> su manje su za 73,</w:t>
      </w:r>
      <w:r w:rsidR="009E5FF3">
        <w:rPr>
          <w:rFonts w:ascii="Times New Roman" w:hAnsi="Times New Roman" w:cs="Times New Roman"/>
          <w:sz w:val="24"/>
          <w:szCs w:val="24"/>
        </w:rPr>
        <w:t>67</w:t>
      </w:r>
      <w:r w:rsidRPr="005934DF">
        <w:rPr>
          <w:rFonts w:ascii="Times New Roman" w:hAnsi="Times New Roman" w:cs="Times New Roman"/>
          <w:sz w:val="24"/>
          <w:szCs w:val="24"/>
        </w:rPr>
        <w:t>% jer su u 2022. godini   obračunati dodaci za posebne uvjete rada za 2 (dva) domara koji rade na poslovima za koje su propisani posebni uvjeti rada zbog povećanog rizika (rad u kotlovnici) u iznosu 10% od osnovice za izračun plaće. S obzirom da je Ministarstvo znanosti i obrazovanja dostavilo verifikaciju dodatka tijekom 2022. i nalog za isplatu zaostalih dodataka za posebne uvjete rada počevši od razdoblja kad je sklopljen Dodatak III. Kolektivnog ugovora kojim se utvrđuje pravo na posebne uvjete rada (prosinac 2018.), isplaćen je cjelokupan iznos zaključno s travnjem 2022.</w:t>
      </w:r>
      <w:r w:rsidR="00885BCD">
        <w:rPr>
          <w:rFonts w:ascii="Times New Roman" w:hAnsi="Times New Roman" w:cs="Times New Roman"/>
          <w:sz w:val="24"/>
          <w:szCs w:val="24"/>
        </w:rPr>
        <w:t xml:space="preserve"> godine</w:t>
      </w:r>
      <w:r w:rsidRPr="005934DF">
        <w:rPr>
          <w:rFonts w:ascii="Times New Roman" w:hAnsi="Times New Roman" w:cs="Times New Roman"/>
          <w:sz w:val="24"/>
          <w:szCs w:val="24"/>
        </w:rPr>
        <w:t>, dok se od svibnja nastavilo s kontinuiranim obračunom i isplatom dodatka za tekući mjesec.</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Naknade troškova zaposlenima</w:t>
      </w:r>
      <w:r w:rsidRPr="005934DF">
        <w:rPr>
          <w:rFonts w:ascii="Times New Roman" w:hAnsi="Times New Roman" w:cs="Times New Roman"/>
          <w:sz w:val="24"/>
          <w:szCs w:val="24"/>
        </w:rPr>
        <w:t xml:space="preserve"> veće su za </w:t>
      </w:r>
      <w:r w:rsidR="009E5FF3">
        <w:rPr>
          <w:rFonts w:ascii="Times New Roman" w:hAnsi="Times New Roman" w:cs="Times New Roman"/>
          <w:sz w:val="24"/>
          <w:szCs w:val="24"/>
        </w:rPr>
        <w:t>11,23</w:t>
      </w:r>
      <w:r w:rsidRPr="005934DF">
        <w:rPr>
          <w:rFonts w:ascii="Times New Roman" w:hAnsi="Times New Roman" w:cs="Times New Roman"/>
          <w:sz w:val="24"/>
          <w:szCs w:val="24"/>
        </w:rPr>
        <w:t xml:space="preserve">% i iznose </w:t>
      </w:r>
      <w:r w:rsidR="009E5FF3">
        <w:rPr>
          <w:rFonts w:ascii="Times New Roman" w:hAnsi="Times New Roman" w:cs="Times New Roman"/>
          <w:sz w:val="24"/>
          <w:szCs w:val="24"/>
        </w:rPr>
        <w:t>217.321</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Dok su naknade za prijevoz ostale na istom nivou, izdaci za službena putovanja povećali su se za </w:t>
      </w:r>
      <w:r w:rsidR="009E5FF3">
        <w:rPr>
          <w:rFonts w:ascii="Times New Roman" w:hAnsi="Times New Roman" w:cs="Times New Roman"/>
          <w:sz w:val="24"/>
          <w:szCs w:val="24"/>
        </w:rPr>
        <w:t>21,49</w:t>
      </w:r>
      <w:r w:rsidRPr="005934DF">
        <w:rPr>
          <w:rFonts w:ascii="Times New Roman" w:hAnsi="Times New Roman" w:cs="Times New Roman"/>
          <w:sz w:val="24"/>
          <w:szCs w:val="24"/>
        </w:rPr>
        <w:t xml:space="preserve">%. Nakon završetka razdoblja pandemije COVID 19, bilježi se povećan broj službenih putovanja i sudjelovanja djelatnika na raznim konferencijama i skupovima. </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Rashodi za materijal i energiju</w:t>
      </w:r>
      <w:r w:rsidRPr="005934DF">
        <w:rPr>
          <w:rFonts w:ascii="Times New Roman" w:hAnsi="Times New Roman" w:cs="Times New Roman"/>
          <w:sz w:val="24"/>
          <w:szCs w:val="24"/>
        </w:rPr>
        <w:t xml:space="preserve"> ukupno iznose </w:t>
      </w:r>
      <w:r w:rsidR="009E5FF3">
        <w:rPr>
          <w:rFonts w:ascii="Times New Roman" w:hAnsi="Times New Roman" w:cs="Times New Roman"/>
          <w:sz w:val="24"/>
          <w:szCs w:val="24"/>
        </w:rPr>
        <w:t>143.413</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i manji su za 3</w:t>
      </w:r>
      <w:r w:rsidR="009E5FF3">
        <w:rPr>
          <w:rFonts w:ascii="Times New Roman" w:hAnsi="Times New Roman" w:cs="Times New Roman"/>
          <w:sz w:val="24"/>
          <w:szCs w:val="24"/>
        </w:rPr>
        <w:t>2,97</w:t>
      </w:r>
      <w:r w:rsidRPr="005934DF">
        <w:rPr>
          <w:rFonts w:ascii="Times New Roman" w:hAnsi="Times New Roman" w:cs="Times New Roman"/>
          <w:sz w:val="24"/>
          <w:szCs w:val="24"/>
        </w:rPr>
        <w:t xml:space="preserve">%, a najveće smanjenje ostvareno je na rashodima za energiju koji iznose </w:t>
      </w:r>
      <w:r w:rsidR="009E5FF3">
        <w:rPr>
          <w:rFonts w:ascii="Times New Roman" w:hAnsi="Times New Roman" w:cs="Times New Roman"/>
          <w:sz w:val="24"/>
          <w:szCs w:val="24"/>
        </w:rPr>
        <w:t>70.750</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što je manje za 39,</w:t>
      </w:r>
      <w:r w:rsidR="009E5FF3">
        <w:rPr>
          <w:rFonts w:ascii="Times New Roman" w:hAnsi="Times New Roman" w:cs="Times New Roman"/>
          <w:sz w:val="24"/>
          <w:szCs w:val="24"/>
        </w:rPr>
        <w:t>42</w:t>
      </w:r>
      <w:r w:rsidRPr="005934DF">
        <w:rPr>
          <w:rFonts w:ascii="Times New Roman" w:hAnsi="Times New Roman" w:cs="Times New Roman"/>
          <w:sz w:val="24"/>
          <w:szCs w:val="24"/>
        </w:rPr>
        <w:t xml:space="preserve">% uslijed subvencioniranja cijene električne energije od strane države.  Rashodi za uredski materijal </w:t>
      </w:r>
      <w:r w:rsidR="009E5FF3">
        <w:rPr>
          <w:rFonts w:ascii="Times New Roman" w:hAnsi="Times New Roman" w:cs="Times New Roman"/>
          <w:sz w:val="24"/>
          <w:szCs w:val="24"/>
        </w:rPr>
        <w:t>su veći za 7,29%</w:t>
      </w:r>
      <w:r w:rsidRPr="005934DF">
        <w:rPr>
          <w:rFonts w:ascii="Times New Roman" w:hAnsi="Times New Roman" w:cs="Times New Roman"/>
          <w:sz w:val="24"/>
          <w:szCs w:val="24"/>
        </w:rPr>
        <w:t>, dok su rashodi za materijal i investicijsko održavanje  smanjeni za 44,4</w:t>
      </w:r>
      <w:r w:rsidR="009E5FF3">
        <w:rPr>
          <w:rFonts w:ascii="Times New Roman" w:hAnsi="Times New Roman" w:cs="Times New Roman"/>
          <w:sz w:val="24"/>
          <w:szCs w:val="24"/>
        </w:rPr>
        <w:t>5</w:t>
      </w:r>
      <w:r w:rsidRPr="005934DF">
        <w:rPr>
          <w:rFonts w:ascii="Times New Roman" w:hAnsi="Times New Roman" w:cs="Times New Roman"/>
          <w:sz w:val="24"/>
          <w:szCs w:val="24"/>
        </w:rPr>
        <w:t xml:space="preserve">% i iznose </w:t>
      </w:r>
      <w:r w:rsidR="009E5FF3">
        <w:rPr>
          <w:rFonts w:ascii="Times New Roman" w:hAnsi="Times New Roman" w:cs="Times New Roman"/>
          <w:sz w:val="24"/>
          <w:szCs w:val="24"/>
        </w:rPr>
        <w:t>33.320</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zbog smanjenih nabava materijala za održavanje i uređivanje edukativne radionice u prostoru Torpedo, kao i prostora zgrade Fakulteta. Također, nabavljao se i materijal za održavanje i unaprjeđenje računalne opreme.</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Rashodi za usluge</w:t>
      </w:r>
      <w:r w:rsidRPr="005934DF">
        <w:rPr>
          <w:rFonts w:ascii="Times New Roman" w:hAnsi="Times New Roman" w:cs="Times New Roman"/>
          <w:sz w:val="24"/>
          <w:szCs w:val="24"/>
        </w:rPr>
        <w:t xml:space="preserve"> </w:t>
      </w:r>
      <w:r>
        <w:rPr>
          <w:rFonts w:ascii="Times New Roman" w:hAnsi="Times New Roman" w:cs="Times New Roman"/>
          <w:sz w:val="24"/>
          <w:szCs w:val="24"/>
        </w:rPr>
        <w:t xml:space="preserve">izvršeni </w:t>
      </w:r>
      <w:r w:rsidRPr="005934DF">
        <w:rPr>
          <w:rFonts w:ascii="Times New Roman" w:hAnsi="Times New Roman" w:cs="Times New Roman"/>
          <w:sz w:val="24"/>
          <w:szCs w:val="24"/>
        </w:rPr>
        <w:t xml:space="preserve">su u ukupnom iznosu od </w:t>
      </w:r>
      <w:r w:rsidR="009E5FF3">
        <w:rPr>
          <w:rFonts w:ascii="Times New Roman" w:hAnsi="Times New Roman" w:cs="Times New Roman"/>
          <w:sz w:val="24"/>
          <w:szCs w:val="24"/>
        </w:rPr>
        <w:t>929.579</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i manji su za </w:t>
      </w:r>
      <w:r w:rsidR="009E5FF3">
        <w:rPr>
          <w:rFonts w:ascii="Times New Roman" w:hAnsi="Times New Roman" w:cs="Times New Roman"/>
          <w:sz w:val="24"/>
          <w:szCs w:val="24"/>
        </w:rPr>
        <w:t>7,12</w:t>
      </w:r>
      <w:r w:rsidRPr="005934DF">
        <w:rPr>
          <w:rFonts w:ascii="Times New Roman" w:hAnsi="Times New Roman" w:cs="Times New Roman"/>
          <w:sz w:val="24"/>
          <w:szCs w:val="24"/>
        </w:rPr>
        <w:t xml:space="preserve">%   u odnosu na prethodnu godinu. </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lastRenderedPageBreak/>
        <w:t>Usluge telefona, poštarine i prijevoza</w:t>
      </w:r>
      <w:r w:rsidRPr="005934DF">
        <w:rPr>
          <w:rFonts w:ascii="Times New Roman" w:hAnsi="Times New Roman" w:cs="Times New Roman"/>
          <w:sz w:val="24"/>
          <w:szCs w:val="24"/>
        </w:rPr>
        <w:t xml:space="preserve"> iznose </w:t>
      </w:r>
      <w:r w:rsidR="009E5FF3">
        <w:rPr>
          <w:rFonts w:ascii="Times New Roman" w:hAnsi="Times New Roman" w:cs="Times New Roman"/>
          <w:sz w:val="24"/>
          <w:szCs w:val="24"/>
        </w:rPr>
        <w:t>24.459</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i veće su za </w:t>
      </w:r>
      <w:r w:rsidR="009E5FF3">
        <w:rPr>
          <w:rFonts w:ascii="Times New Roman" w:hAnsi="Times New Roman" w:cs="Times New Roman"/>
          <w:sz w:val="24"/>
          <w:szCs w:val="24"/>
        </w:rPr>
        <w:t>100,23</w:t>
      </w:r>
      <w:r w:rsidRPr="005934DF">
        <w:rPr>
          <w:rFonts w:ascii="Times New Roman" w:hAnsi="Times New Roman" w:cs="Times New Roman"/>
          <w:sz w:val="24"/>
          <w:szCs w:val="24"/>
        </w:rPr>
        <w:t>%. Do povećanja je došlo uslijed korištenja auto dizalice i troškova prijevoza brodskog motora na lokaciju Torpeda</w:t>
      </w:r>
      <w:r w:rsidR="008D423E">
        <w:rPr>
          <w:rFonts w:ascii="Times New Roman" w:hAnsi="Times New Roman" w:cs="Times New Roman"/>
          <w:sz w:val="24"/>
          <w:szCs w:val="24"/>
        </w:rPr>
        <w:t xml:space="preserve"> u iznosu 19.660 </w:t>
      </w:r>
      <w:r w:rsidR="00885BCD">
        <w:rPr>
          <w:rFonts w:ascii="Times New Roman" w:hAnsi="Times New Roman" w:cs="Times New Roman"/>
          <w:sz w:val="24"/>
          <w:szCs w:val="24"/>
        </w:rPr>
        <w:t>EUR</w:t>
      </w:r>
      <w:r w:rsidRPr="005934DF">
        <w:rPr>
          <w:rFonts w:ascii="Times New Roman" w:hAnsi="Times New Roman" w:cs="Times New Roman"/>
          <w:sz w:val="24"/>
          <w:szCs w:val="24"/>
        </w:rPr>
        <w:t>.</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Rashodi  za tekuće i investicijsko održavanje</w:t>
      </w:r>
      <w:r w:rsidRPr="005934DF">
        <w:rPr>
          <w:rFonts w:ascii="Times New Roman" w:hAnsi="Times New Roman" w:cs="Times New Roman"/>
          <w:sz w:val="24"/>
          <w:szCs w:val="24"/>
        </w:rPr>
        <w:t xml:space="preserve"> izvršeni su u iznosu od </w:t>
      </w:r>
      <w:r w:rsidR="008D423E">
        <w:rPr>
          <w:rFonts w:ascii="Times New Roman" w:hAnsi="Times New Roman" w:cs="Times New Roman"/>
          <w:sz w:val="24"/>
          <w:szCs w:val="24"/>
        </w:rPr>
        <w:t>109.714</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i zadržani su na</w:t>
      </w:r>
      <w:r w:rsidR="008D423E">
        <w:rPr>
          <w:rFonts w:ascii="Times New Roman" w:hAnsi="Times New Roman" w:cs="Times New Roman"/>
          <w:sz w:val="24"/>
          <w:szCs w:val="24"/>
        </w:rPr>
        <w:t xml:space="preserve"> približno</w:t>
      </w:r>
      <w:r w:rsidRPr="005934DF">
        <w:rPr>
          <w:rFonts w:ascii="Times New Roman" w:hAnsi="Times New Roman" w:cs="Times New Roman"/>
          <w:sz w:val="24"/>
          <w:szCs w:val="24"/>
        </w:rPr>
        <w:t xml:space="preserve"> istom nivou kao i prethodne godine.  U 2023. godini najveći dio rashoda za tekuće i investicijsko održavanje odnosio se na radove na preuređenju učionice 408 za VR simulator , te uređenje ostalih učionica za nastavu, dok se u 2022. godini troškovi odnosili na nastavak uređenja edukativne radionice Torpedo, troškove održavanja zgrade Fakulteta i učionica, kao i uređenje laboratorija za materijale i mehaniku, MasterHub-a (soboslikarski, parketarski i elektrotehnički radovi). </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Usluge promidžbe i informiranja</w:t>
      </w:r>
      <w:r w:rsidRPr="005934DF">
        <w:rPr>
          <w:rFonts w:ascii="Times New Roman" w:hAnsi="Times New Roman" w:cs="Times New Roman"/>
          <w:sz w:val="24"/>
          <w:szCs w:val="24"/>
        </w:rPr>
        <w:t xml:space="preserve"> manje su za </w:t>
      </w:r>
      <w:r w:rsidR="008D423E">
        <w:rPr>
          <w:rFonts w:ascii="Times New Roman" w:hAnsi="Times New Roman" w:cs="Times New Roman"/>
          <w:sz w:val="24"/>
          <w:szCs w:val="24"/>
        </w:rPr>
        <w:t>7,43</w:t>
      </w:r>
      <w:r w:rsidRPr="005934DF">
        <w:rPr>
          <w:rFonts w:ascii="Times New Roman" w:hAnsi="Times New Roman" w:cs="Times New Roman"/>
          <w:sz w:val="24"/>
          <w:szCs w:val="24"/>
        </w:rPr>
        <w:t>% zbog manjih troškova objave oglasa za zapošljavanje. Naime, temeljem novog Zakona o znanosti i visokom obrazovanju, zapošljavanja u sustavu redovnog napredovanja nastavnog osoblja ne zahtijevaju objavu javnog natječaja.</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Troškovi zakupnina i najamnina</w:t>
      </w:r>
      <w:r w:rsidRPr="005934DF">
        <w:rPr>
          <w:rFonts w:ascii="Times New Roman" w:hAnsi="Times New Roman" w:cs="Times New Roman"/>
          <w:sz w:val="24"/>
          <w:szCs w:val="24"/>
        </w:rPr>
        <w:t xml:space="preserve"> veći su za </w:t>
      </w:r>
      <w:r w:rsidR="008D423E">
        <w:rPr>
          <w:rFonts w:ascii="Times New Roman" w:hAnsi="Times New Roman" w:cs="Times New Roman"/>
          <w:sz w:val="24"/>
          <w:szCs w:val="24"/>
        </w:rPr>
        <w:t>7</w:t>
      </w:r>
      <w:r w:rsidRPr="005934DF">
        <w:rPr>
          <w:rFonts w:ascii="Times New Roman" w:hAnsi="Times New Roman" w:cs="Times New Roman"/>
          <w:sz w:val="24"/>
          <w:szCs w:val="24"/>
        </w:rPr>
        <w:t>% a odnose se na licence za razne programe za u nastavu i cjeloživotno obrazovanje u iznosu od 29.</w:t>
      </w:r>
      <w:r w:rsidR="00234285">
        <w:rPr>
          <w:rFonts w:ascii="Times New Roman" w:hAnsi="Times New Roman" w:cs="Times New Roman"/>
          <w:sz w:val="24"/>
          <w:szCs w:val="24"/>
        </w:rPr>
        <w:t>008</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najam prostora edukativne radionice Torpedo u iznosu od 41.381 </w:t>
      </w:r>
      <w:r w:rsidR="00885BCD">
        <w:rPr>
          <w:rFonts w:ascii="Times New Roman" w:hAnsi="Times New Roman" w:cs="Times New Roman"/>
          <w:sz w:val="24"/>
          <w:szCs w:val="24"/>
        </w:rPr>
        <w:t>EUR</w:t>
      </w:r>
      <w:r w:rsidRPr="005934DF">
        <w:rPr>
          <w:rFonts w:ascii="Times New Roman" w:hAnsi="Times New Roman" w:cs="Times New Roman"/>
          <w:sz w:val="24"/>
          <w:szCs w:val="24"/>
        </w:rPr>
        <w:t>, najam fotokopirnih  uređaja i ostale opreme 14.</w:t>
      </w:r>
      <w:r w:rsidR="00234285">
        <w:rPr>
          <w:rFonts w:ascii="Times New Roman" w:hAnsi="Times New Roman" w:cs="Times New Roman"/>
          <w:sz w:val="24"/>
          <w:szCs w:val="24"/>
        </w:rPr>
        <w:t>357</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najam prostora za depozit arhivske građe u iznosu od 9.</w:t>
      </w:r>
      <w:r w:rsidR="00234285">
        <w:rPr>
          <w:rFonts w:ascii="Times New Roman" w:hAnsi="Times New Roman" w:cs="Times New Roman"/>
          <w:sz w:val="24"/>
          <w:szCs w:val="24"/>
        </w:rPr>
        <w:t>587</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najam vatrogasnog poligona za održavanje tečajeva u iznosu od 1</w:t>
      </w:r>
      <w:r w:rsidR="00234285">
        <w:rPr>
          <w:rFonts w:ascii="Times New Roman" w:hAnsi="Times New Roman" w:cs="Times New Roman"/>
          <w:sz w:val="24"/>
          <w:szCs w:val="24"/>
        </w:rPr>
        <w:t xml:space="preserve">1.115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i najam plovila u iznosu od 21.99</w:t>
      </w:r>
      <w:r w:rsidR="00234285">
        <w:rPr>
          <w:rFonts w:ascii="Times New Roman" w:hAnsi="Times New Roman" w:cs="Times New Roman"/>
          <w:sz w:val="24"/>
          <w:szCs w:val="24"/>
        </w:rPr>
        <w:t>6</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za održavanje plovidbene i stručne prakse. Povećanje troškova rezultat je zakupa  ozvučenja i opreme za održavanje regate i Bala pomoraca.</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sz w:val="24"/>
          <w:szCs w:val="24"/>
        </w:rPr>
        <w:t xml:space="preserve">U strukturi rashoda za usluge vrijednosno su najveći </w:t>
      </w:r>
      <w:r w:rsidRPr="005934DF">
        <w:rPr>
          <w:rFonts w:ascii="Times New Roman" w:hAnsi="Times New Roman" w:cs="Times New Roman"/>
          <w:b/>
          <w:sz w:val="24"/>
          <w:szCs w:val="24"/>
        </w:rPr>
        <w:t>rashodi za intelektualne i osobne usluge</w:t>
      </w:r>
      <w:r w:rsidRPr="005934DF">
        <w:rPr>
          <w:rFonts w:ascii="Times New Roman" w:hAnsi="Times New Roman" w:cs="Times New Roman"/>
          <w:sz w:val="24"/>
          <w:szCs w:val="24"/>
        </w:rPr>
        <w:t xml:space="preserve"> u iznosu od </w:t>
      </w:r>
      <w:r w:rsidR="00234285">
        <w:rPr>
          <w:rFonts w:ascii="Times New Roman" w:hAnsi="Times New Roman" w:cs="Times New Roman"/>
          <w:sz w:val="24"/>
          <w:szCs w:val="24"/>
        </w:rPr>
        <w:t>543.803</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među kojima su najznačajniji izdaci za autorske honorare za rad na stručnim projektima za tržište u iznosu od </w:t>
      </w:r>
      <w:r w:rsidR="00234285">
        <w:rPr>
          <w:rFonts w:ascii="Times New Roman" w:hAnsi="Times New Roman" w:cs="Times New Roman"/>
          <w:sz w:val="24"/>
          <w:szCs w:val="24"/>
        </w:rPr>
        <w:t>330.856</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ugovori o djelu temeljem vanjske suradnje u nastavi u iznosu od 71.995 </w:t>
      </w:r>
      <w:r w:rsidR="00885BCD">
        <w:rPr>
          <w:rFonts w:ascii="Times New Roman" w:hAnsi="Times New Roman" w:cs="Times New Roman"/>
          <w:sz w:val="24"/>
          <w:szCs w:val="24"/>
        </w:rPr>
        <w:t>EUR</w:t>
      </w:r>
      <w:r w:rsidRPr="005934DF">
        <w:rPr>
          <w:rFonts w:ascii="Times New Roman" w:hAnsi="Times New Roman" w:cs="Times New Roman"/>
          <w:sz w:val="24"/>
          <w:szCs w:val="24"/>
        </w:rPr>
        <w:t>, ugovori s vanjskim suradnicima za održavanje tečajeva za pomorce u iznosu od 1</w:t>
      </w:r>
      <w:r w:rsidR="00234285">
        <w:rPr>
          <w:rFonts w:ascii="Times New Roman" w:hAnsi="Times New Roman" w:cs="Times New Roman"/>
          <w:sz w:val="24"/>
          <w:szCs w:val="24"/>
        </w:rPr>
        <w:t>6.934</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usluge za objavu znanstvenih radova u iznosu od 8.712 </w:t>
      </w:r>
      <w:r w:rsidR="00885BCD">
        <w:rPr>
          <w:rFonts w:ascii="Times New Roman" w:hAnsi="Times New Roman" w:cs="Times New Roman"/>
          <w:sz w:val="24"/>
          <w:szCs w:val="24"/>
        </w:rPr>
        <w:t>EUR</w:t>
      </w:r>
      <w:r w:rsidRPr="005934DF">
        <w:rPr>
          <w:rFonts w:ascii="Times New Roman" w:hAnsi="Times New Roman" w:cs="Times New Roman"/>
          <w:sz w:val="24"/>
          <w:szCs w:val="24"/>
        </w:rPr>
        <w:t>, savjetodavne i usluge izrade raznih elaborata i projekata u iznosu od 23.</w:t>
      </w:r>
      <w:r w:rsidR="00234285">
        <w:rPr>
          <w:rFonts w:ascii="Times New Roman" w:hAnsi="Times New Roman" w:cs="Times New Roman"/>
          <w:sz w:val="24"/>
          <w:szCs w:val="24"/>
        </w:rPr>
        <w:t>977</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te ostale intelektualne usluge (odvjetničke, demonstrature preko Studentskog centra i sl.) u iznosu od  </w:t>
      </w:r>
      <w:r w:rsidR="00234285">
        <w:rPr>
          <w:rFonts w:ascii="Times New Roman" w:hAnsi="Times New Roman" w:cs="Times New Roman"/>
          <w:sz w:val="24"/>
          <w:szCs w:val="24"/>
        </w:rPr>
        <w:t>43.413</w:t>
      </w:r>
      <w:r w:rsidRPr="005934DF">
        <w:rPr>
          <w:rFonts w:ascii="Times New Roman" w:hAnsi="Times New Roman" w:cs="Times New Roman"/>
          <w:sz w:val="24"/>
          <w:szCs w:val="24"/>
        </w:rPr>
        <w:t xml:space="preserve"> euro.</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Računalne usluge</w:t>
      </w:r>
      <w:r w:rsidRPr="005934DF">
        <w:rPr>
          <w:rFonts w:ascii="Times New Roman" w:hAnsi="Times New Roman" w:cs="Times New Roman"/>
          <w:sz w:val="24"/>
          <w:szCs w:val="24"/>
        </w:rPr>
        <w:t xml:space="preserve"> u iznosu od </w:t>
      </w:r>
      <w:r w:rsidR="008D423E">
        <w:rPr>
          <w:rFonts w:ascii="Times New Roman" w:hAnsi="Times New Roman" w:cs="Times New Roman"/>
          <w:sz w:val="24"/>
          <w:szCs w:val="24"/>
        </w:rPr>
        <w:t>21.892</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manje su za 7</w:t>
      </w:r>
      <w:r w:rsidR="008D423E">
        <w:rPr>
          <w:rFonts w:ascii="Times New Roman" w:hAnsi="Times New Roman" w:cs="Times New Roman"/>
          <w:sz w:val="24"/>
          <w:szCs w:val="24"/>
        </w:rPr>
        <w:t>9,46</w:t>
      </w:r>
      <w:r w:rsidRPr="005934DF">
        <w:rPr>
          <w:rFonts w:ascii="Times New Roman" w:hAnsi="Times New Roman" w:cs="Times New Roman"/>
          <w:sz w:val="24"/>
          <w:szCs w:val="24"/>
        </w:rPr>
        <w:t xml:space="preserve">% zbog računalnih usluga za potrebe projekta CEKOM u ukupnom iznosu od 85.191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koje su izvršene u 2022. godini. Ostatak računalnih usluga se odnosi na redovno održavanje računovodstvenih, knjižničnih i programa za uredsko poslovanje.</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Ostale usluge</w:t>
      </w:r>
      <w:r w:rsidRPr="005934DF">
        <w:rPr>
          <w:rFonts w:ascii="Times New Roman" w:hAnsi="Times New Roman" w:cs="Times New Roman"/>
          <w:sz w:val="24"/>
          <w:szCs w:val="24"/>
        </w:rPr>
        <w:t xml:space="preserve"> manje su za </w:t>
      </w:r>
      <w:r w:rsidR="008D423E">
        <w:rPr>
          <w:rFonts w:ascii="Times New Roman" w:hAnsi="Times New Roman" w:cs="Times New Roman"/>
          <w:sz w:val="24"/>
          <w:szCs w:val="24"/>
        </w:rPr>
        <w:t>61,24</w:t>
      </w:r>
      <w:r w:rsidRPr="005934DF">
        <w:rPr>
          <w:rFonts w:ascii="Times New Roman" w:hAnsi="Times New Roman" w:cs="Times New Roman"/>
          <w:sz w:val="24"/>
          <w:szCs w:val="24"/>
        </w:rPr>
        <w:t xml:space="preserve"> %  i najvećim dijelom odnose se na grafičke i tiskarske usluge tiskanja diploma, časopisa, studentskih iskaznica i slično, a manje su jer je tijekom 2022. bilo više nespomenutih usluga koje su bile vezane uz objekt Torpedo i sređivanje područja oko objekta. </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 xml:space="preserve">Naknade troškova službenih putovanja osobama izvan radnog odnosa </w:t>
      </w:r>
      <w:r w:rsidRPr="005934DF">
        <w:rPr>
          <w:rFonts w:ascii="Times New Roman" w:hAnsi="Times New Roman" w:cs="Times New Roman"/>
          <w:sz w:val="24"/>
          <w:szCs w:val="24"/>
        </w:rPr>
        <w:t xml:space="preserve">su povećane tijekom 2023. godine zbog angažiranja  vanjskog suradnika iz Španjolske radi sudjelovanja na HRZZ projektu, te drugih vanjskih suradnika/studenata koji su za potrebe Fakulteta sudjelovali na konferencijama u zemlji i inozemstvu.  </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Ostali nespomenuti rashodi poslovanja</w:t>
      </w:r>
      <w:r w:rsidRPr="005934DF">
        <w:rPr>
          <w:rFonts w:ascii="Times New Roman" w:hAnsi="Times New Roman" w:cs="Times New Roman"/>
          <w:sz w:val="24"/>
          <w:szCs w:val="24"/>
        </w:rPr>
        <w:t xml:space="preserve"> izvršeni su u iznosu od </w:t>
      </w:r>
      <w:r w:rsidR="008D423E">
        <w:rPr>
          <w:rFonts w:ascii="Times New Roman" w:hAnsi="Times New Roman" w:cs="Times New Roman"/>
          <w:sz w:val="24"/>
          <w:szCs w:val="24"/>
        </w:rPr>
        <w:t>98.985</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odnosno </w:t>
      </w:r>
      <w:r w:rsidR="008D423E">
        <w:rPr>
          <w:rFonts w:ascii="Times New Roman" w:hAnsi="Times New Roman" w:cs="Times New Roman"/>
          <w:sz w:val="24"/>
          <w:szCs w:val="24"/>
        </w:rPr>
        <w:t>28,20</w:t>
      </w:r>
      <w:r w:rsidRPr="005934DF">
        <w:rPr>
          <w:rFonts w:ascii="Times New Roman" w:hAnsi="Times New Roman" w:cs="Times New Roman"/>
          <w:sz w:val="24"/>
          <w:szCs w:val="24"/>
        </w:rPr>
        <w:t xml:space="preserve"> % više u odnosu na prethodnu godinu.  Na povećanje je najviše utjecalo povećanje troškova reprezentacije u odnosu na prethodnu godinu za </w:t>
      </w:r>
      <w:r w:rsidR="008D423E">
        <w:rPr>
          <w:rFonts w:ascii="Times New Roman" w:hAnsi="Times New Roman" w:cs="Times New Roman"/>
          <w:sz w:val="24"/>
          <w:szCs w:val="24"/>
        </w:rPr>
        <w:t>104,9</w:t>
      </w:r>
      <w:r w:rsidRPr="005934DF">
        <w:rPr>
          <w:rFonts w:ascii="Times New Roman" w:hAnsi="Times New Roman" w:cs="Times New Roman"/>
          <w:sz w:val="24"/>
          <w:szCs w:val="24"/>
        </w:rPr>
        <w:t xml:space="preserve">% jer su tijekom 2022. godine ovih troškovi bili znatno smanjeni. Ostali nespomenuti rashodi poslovanja obuhvaćaju osiguranje </w:t>
      </w:r>
      <w:r w:rsidRPr="005934DF">
        <w:rPr>
          <w:rFonts w:ascii="Times New Roman" w:hAnsi="Times New Roman" w:cs="Times New Roman"/>
          <w:sz w:val="24"/>
          <w:szCs w:val="24"/>
        </w:rPr>
        <w:lastRenderedPageBreak/>
        <w:t xml:space="preserve">studenata i polaznika tečajeva i programa izobrazbe. Troškovi sudskih postupaka obuhvaćaju troškove tužbi zaposlenika za povećanje osnovice 6%. </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 xml:space="preserve">Financijski rashodi </w:t>
      </w:r>
      <w:r w:rsidRPr="005934DF">
        <w:rPr>
          <w:rFonts w:ascii="Times New Roman" w:hAnsi="Times New Roman" w:cs="Times New Roman"/>
          <w:sz w:val="24"/>
          <w:szCs w:val="24"/>
        </w:rPr>
        <w:t>iznose 7.</w:t>
      </w:r>
      <w:r w:rsidR="008D423E">
        <w:rPr>
          <w:rFonts w:ascii="Times New Roman" w:hAnsi="Times New Roman" w:cs="Times New Roman"/>
          <w:sz w:val="24"/>
          <w:szCs w:val="24"/>
        </w:rPr>
        <w:t>667</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i manji su za </w:t>
      </w:r>
      <w:r w:rsidR="008D423E">
        <w:rPr>
          <w:rFonts w:ascii="Times New Roman" w:hAnsi="Times New Roman" w:cs="Times New Roman"/>
          <w:sz w:val="24"/>
          <w:szCs w:val="24"/>
        </w:rPr>
        <w:t>46,34</w:t>
      </w:r>
      <w:r w:rsidRPr="005934DF">
        <w:rPr>
          <w:rFonts w:ascii="Times New Roman" w:hAnsi="Times New Roman" w:cs="Times New Roman"/>
          <w:sz w:val="24"/>
          <w:szCs w:val="24"/>
        </w:rPr>
        <w:t xml:space="preserve">% u odnosu na prethodnu godinu, a čine ih usluge platnog prometa u iznosu od </w:t>
      </w:r>
      <w:r w:rsidR="008D423E">
        <w:rPr>
          <w:rFonts w:ascii="Times New Roman" w:hAnsi="Times New Roman" w:cs="Times New Roman"/>
          <w:sz w:val="24"/>
          <w:szCs w:val="24"/>
        </w:rPr>
        <w:t>4.842</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i negativne tečajne razlike koje su manje za </w:t>
      </w:r>
      <w:r w:rsidR="008D423E">
        <w:rPr>
          <w:rFonts w:ascii="Times New Roman" w:hAnsi="Times New Roman" w:cs="Times New Roman"/>
          <w:sz w:val="24"/>
          <w:szCs w:val="24"/>
        </w:rPr>
        <w:t>92,45</w:t>
      </w:r>
      <w:r w:rsidRPr="005934DF">
        <w:rPr>
          <w:rFonts w:ascii="Times New Roman" w:hAnsi="Times New Roman" w:cs="Times New Roman"/>
          <w:sz w:val="24"/>
          <w:szCs w:val="24"/>
        </w:rPr>
        <w:t>% zbog prelaska na euro.</w:t>
      </w:r>
    </w:p>
    <w:p w:rsidR="005934DF" w:rsidRPr="005934DF" w:rsidRDefault="005934DF" w:rsidP="005934DF">
      <w:pPr>
        <w:spacing w:line="240" w:lineRule="auto"/>
        <w:jc w:val="both"/>
        <w:rPr>
          <w:rFonts w:ascii="Times New Roman" w:hAnsi="Times New Roman" w:cs="Times New Roman"/>
          <w:sz w:val="24"/>
          <w:szCs w:val="24"/>
        </w:rPr>
      </w:pPr>
      <w:bookmarkStart w:id="2" w:name="_Hlk158278642"/>
      <w:r w:rsidRPr="005934DF">
        <w:rPr>
          <w:rFonts w:ascii="Times New Roman" w:hAnsi="Times New Roman" w:cs="Times New Roman"/>
          <w:b/>
          <w:sz w:val="24"/>
          <w:szCs w:val="24"/>
        </w:rPr>
        <w:t>Subvencije</w:t>
      </w:r>
      <w:r w:rsidRPr="005934DF">
        <w:rPr>
          <w:rFonts w:ascii="Times New Roman" w:hAnsi="Times New Roman" w:cs="Times New Roman"/>
          <w:sz w:val="24"/>
          <w:szCs w:val="24"/>
        </w:rPr>
        <w:t xml:space="preserve"> u iznosu od 11.921</w:t>
      </w:r>
      <w:r w:rsidR="008D423E">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odnose se na doznaku sredstava trgovačkim društvima, partnerima na HKO projektu Pandora. Manje su za 97,6</w:t>
      </w:r>
      <w:r w:rsidR="008D423E">
        <w:rPr>
          <w:rFonts w:ascii="Times New Roman" w:hAnsi="Times New Roman" w:cs="Times New Roman"/>
          <w:sz w:val="24"/>
          <w:szCs w:val="24"/>
        </w:rPr>
        <w:t>4</w:t>
      </w:r>
      <w:r w:rsidRPr="005934DF">
        <w:rPr>
          <w:rFonts w:ascii="Times New Roman" w:hAnsi="Times New Roman" w:cs="Times New Roman"/>
          <w:sz w:val="24"/>
          <w:szCs w:val="24"/>
        </w:rPr>
        <w:t>% jer je projekt Pandora završio u prvom kvartalu 2023.</w:t>
      </w:r>
      <w:r w:rsidR="008D423E">
        <w:rPr>
          <w:rFonts w:ascii="Times New Roman" w:hAnsi="Times New Roman" w:cs="Times New Roman"/>
          <w:sz w:val="24"/>
          <w:szCs w:val="24"/>
        </w:rPr>
        <w:t xml:space="preserve"> godine</w:t>
      </w:r>
      <w:r w:rsidRPr="005934DF">
        <w:rPr>
          <w:rFonts w:ascii="Times New Roman" w:hAnsi="Times New Roman" w:cs="Times New Roman"/>
          <w:sz w:val="24"/>
          <w:szCs w:val="24"/>
        </w:rPr>
        <w:t xml:space="preserve">, a tijekom 2022. izvršeni </w:t>
      </w:r>
      <w:r w:rsidR="008D423E" w:rsidRPr="005934DF">
        <w:rPr>
          <w:rFonts w:ascii="Times New Roman" w:hAnsi="Times New Roman" w:cs="Times New Roman"/>
          <w:sz w:val="24"/>
          <w:szCs w:val="24"/>
        </w:rPr>
        <w:t>su</w:t>
      </w:r>
      <w:r w:rsidR="008D423E">
        <w:rPr>
          <w:rFonts w:ascii="Times New Roman" w:hAnsi="Times New Roman" w:cs="Times New Roman"/>
          <w:sz w:val="24"/>
          <w:szCs w:val="24"/>
        </w:rPr>
        <w:t xml:space="preserve"> </w:t>
      </w:r>
      <w:r w:rsidR="008D423E" w:rsidRPr="005934DF">
        <w:rPr>
          <w:rFonts w:ascii="Times New Roman" w:hAnsi="Times New Roman" w:cs="Times New Roman"/>
          <w:sz w:val="24"/>
          <w:szCs w:val="24"/>
        </w:rPr>
        <w:t xml:space="preserve"> </w:t>
      </w:r>
      <w:r w:rsidRPr="005934DF">
        <w:rPr>
          <w:rFonts w:ascii="Times New Roman" w:hAnsi="Times New Roman" w:cs="Times New Roman"/>
          <w:sz w:val="24"/>
          <w:szCs w:val="24"/>
        </w:rPr>
        <w:t>prijenosi sredstava</w:t>
      </w:r>
      <w:r w:rsidR="008D423E">
        <w:rPr>
          <w:rFonts w:ascii="Times New Roman" w:hAnsi="Times New Roman" w:cs="Times New Roman"/>
          <w:sz w:val="24"/>
          <w:szCs w:val="24"/>
        </w:rPr>
        <w:t xml:space="preserve"> trgovačkim društvima,</w:t>
      </w:r>
      <w:r w:rsidRPr="005934DF">
        <w:rPr>
          <w:rFonts w:ascii="Times New Roman" w:hAnsi="Times New Roman" w:cs="Times New Roman"/>
          <w:sz w:val="24"/>
          <w:szCs w:val="24"/>
        </w:rPr>
        <w:t xml:space="preserve"> partnerima na EU Interreg projektu DigLog.</w:t>
      </w:r>
    </w:p>
    <w:bookmarkEnd w:id="2"/>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Pomoći dane u inozemstvo i unutar općeg proračuna</w:t>
      </w:r>
      <w:r w:rsidRPr="005934DF">
        <w:rPr>
          <w:rFonts w:ascii="Times New Roman" w:hAnsi="Times New Roman" w:cs="Times New Roman"/>
          <w:sz w:val="24"/>
          <w:szCs w:val="24"/>
        </w:rPr>
        <w:t xml:space="preserve"> u 2022. godini sastoje se od tekuće pomoći inozemnim vladama odnosno Univerzitetu u Trstu kao partneru na EU Interreg projektu DigLog i visokoškolskim ustanovama u SAD-u i na Filipinima u sklopu projekta CRUISE financiranog od strane Međunarodnog udruženja pomorskih sveučilišta (IAMU). U 2023. godini ovi projekti više nisu aktivni.</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Tekući prijenosi između proračunskih korisnika istog proračuna</w:t>
      </w:r>
      <w:r w:rsidRPr="005934DF">
        <w:rPr>
          <w:rFonts w:ascii="Times New Roman" w:hAnsi="Times New Roman" w:cs="Times New Roman"/>
          <w:sz w:val="24"/>
          <w:szCs w:val="24"/>
        </w:rPr>
        <w:t xml:space="preserve"> odnose se na prijenos sredstava Sveučilištu u Rijeci u visini 3%+1% naplaćenih prihoda od školarina i prihoda ostvarenih na tržištu u iznosu od 57.739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Tekući prijenosi između proračunskih korisnika temeljem prijenosa EU sredstava</w:t>
      </w:r>
      <w:r w:rsidRPr="005934DF">
        <w:rPr>
          <w:rFonts w:ascii="Times New Roman" w:hAnsi="Times New Roman" w:cs="Times New Roman"/>
          <w:sz w:val="24"/>
          <w:szCs w:val="24"/>
        </w:rPr>
        <w:t xml:space="preserve"> odnos</w:t>
      </w:r>
      <w:r w:rsidR="008D423E">
        <w:rPr>
          <w:rFonts w:ascii="Times New Roman" w:hAnsi="Times New Roman" w:cs="Times New Roman"/>
          <w:sz w:val="24"/>
          <w:szCs w:val="24"/>
        </w:rPr>
        <w:t>e</w:t>
      </w:r>
      <w:r w:rsidRPr="005934DF">
        <w:rPr>
          <w:rFonts w:ascii="Times New Roman" w:hAnsi="Times New Roman" w:cs="Times New Roman"/>
          <w:sz w:val="24"/>
          <w:szCs w:val="24"/>
        </w:rPr>
        <w:t xml:space="preserve"> se na prijenos partnerima na HKO projektu Medusa, Pomorskom fakultetu Split , Sveučilištu u Zadru, te Lučkoj upravi Rijeka i Lučkoj upravi Šibenik u sklopu EU projekta DigLog koji su izvršeni u 2022. godini kad su projekti i okončani.</w:t>
      </w:r>
    </w:p>
    <w:p w:rsidR="00A963E2" w:rsidRPr="00A963E2" w:rsidRDefault="00A963E2" w:rsidP="00A963E2">
      <w:pPr>
        <w:spacing w:line="240" w:lineRule="auto"/>
        <w:jc w:val="both"/>
        <w:rPr>
          <w:rFonts w:ascii="Times New Roman" w:hAnsi="Times New Roman" w:cs="Times New Roman"/>
          <w:b/>
          <w:sz w:val="24"/>
          <w:szCs w:val="24"/>
        </w:rPr>
      </w:pPr>
      <w:r w:rsidRPr="00A963E2">
        <w:rPr>
          <w:rFonts w:ascii="Times New Roman" w:hAnsi="Times New Roman" w:cs="Times New Roman"/>
          <w:b/>
          <w:sz w:val="24"/>
          <w:szCs w:val="24"/>
        </w:rPr>
        <w:t>Naknade građanima i kućanstvima u novcu</w:t>
      </w:r>
      <w:r w:rsidRPr="00A963E2">
        <w:rPr>
          <w:rFonts w:ascii="Times New Roman" w:hAnsi="Times New Roman" w:cs="Times New Roman"/>
          <w:sz w:val="24"/>
          <w:szCs w:val="24"/>
        </w:rPr>
        <w:t xml:space="preserve"> u iznosu od 1.139,82 </w:t>
      </w:r>
      <w:r w:rsidR="00885BCD">
        <w:rPr>
          <w:rFonts w:ascii="Times New Roman" w:hAnsi="Times New Roman" w:cs="Times New Roman"/>
          <w:sz w:val="24"/>
          <w:szCs w:val="24"/>
        </w:rPr>
        <w:t>EUR</w:t>
      </w:r>
      <w:r w:rsidRPr="00A963E2">
        <w:rPr>
          <w:rFonts w:ascii="Times New Roman" w:hAnsi="Times New Roman" w:cs="Times New Roman"/>
          <w:sz w:val="24"/>
          <w:szCs w:val="24"/>
        </w:rPr>
        <w:t xml:space="preserve"> odnose na plaćanje školarine doktorskog studija za jednog djelatnika Fakulteta, dok su se u 2022. godini podmirile školarine doktorskog studija za dva djelatnika Fakulteta.  </w:t>
      </w:r>
    </w:p>
    <w:p w:rsidR="005934DF" w:rsidRPr="005934DF"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 xml:space="preserve">Tekuće donacije u novcu </w:t>
      </w:r>
      <w:r w:rsidRPr="005934DF">
        <w:rPr>
          <w:rFonts w:ascii="Times New Roman" w:hAnsi="Times New Roman" w:cs="Times New Roman"/>
          <w:sz w:val="24"/>
          <w:szCs w:val="24"/>
        </w:rPr>
        <w:t xml:space="preserve">odnose se na donaciju udruzi studenata POM-F-RI u iznosu od  3.345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i sportskoj udruzi Nautilus u iznosu od 380 </w:t>
      </w:r>
      <w:r w:rsidR="00885BCD">
        <w:rPr>
          <w:rFonts w:ascii="Times New Roman" w:hAnsi="Times New Roman" w:cs="Times New Roman"/>
          <w:sz w:val="24"/>
          <w:szCs w:val="24"/>
        </w:rPr>
        <w:t>EUR</w:t>
      </w:r>
      <w:r w:rsidRPr="005934DF">
        <w:rPr>
          <w:rFonts w:ascii="Times New Roman" w:hAnsi="Times New Roman" w:cs="Times New Roman"/>
          <w:sz w:val="24"/>
          <w:szCs w:val="24"/>
        </w:rPr>
        <w:t>.</w:t>
      </w:r>
    </w:p>
    <w:p w:rsidR="005934DF" w:rsidRPr="005934DF" w:rsidRDefault="005934DF" w:rsidP="005934DF">
      <w:pPr>
        <w:spacing w:line="240" w:lineRule="auto"/>
        <w:jc w:val="both"/>
        <w:rPr>
          <w:rFonts w:ascii="Times New Roman" w:hAnsi="Times New Roman" w:cs="Times New Roman"/>
          <w:sz w:val="24"/>
          <w:szCs w:val="24"/>
        </w:rPr>
      </w:pPr>
      <w:bookmarkStart w:id="3" w:name="_Hlk158278882"/>
      <w:r w:rsidRPr="005934DF">
        <w:rPr>
          <w:rFonts w:ascii="Times New Roman" w:hAnsi="Times New Roman" w:cs="Times New Roman"/>
          <w:b/>
          <w:sz w:val="24"/>
          <w:szCs w:val="24"/>
        </w:rPr>
        <w:t>Tekuće donacije u naravi</w:t>
      </w:r>
      <w:r w:rsidRPr="005934DF">
        <w:rPr>
          <w:rFonts w:ascii="Times New Roman" w:hAnsi="Times New Roman" w:cs="Times New Roman"/>
          <w:sz w:val="24"/>
          <w:szCs w:val="24"/>
        </w:rPr>
        <w:t xml:space="preserve"> u iznosu od </w:t>
      </w:r>
      <w:r w:rsidR="00A963E2">
        <w:rPr>
          <w:rFonts w:ascii="Times New Roman" w:hAnsi="Times New Roman" w:cs="Times New Roman"/>
          <w:sz w:val="24"/>
          <w:szCs w:val="24"/>
        </w:rPr>
        <w:t>10.204</w:t>
      </w:r>
      <w:r w:rsidRPr="005934DF">
        <w:rPr>
          <w:rFonts w:ascii="Times New Roman" w:hAnsi="Times New Roman" w:cs="Times New Roman"/>
          <w:sz w:val="24"/>
          <w:szCs w:val="24"/>
        </w:rPr>
        <w:t xml:space="preserve">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su prigodni darovi najboljim studentima Fakulteta (tableti), u iznosu od 1.353 </w:t>
      </w:r>
      <w:r w:rsidR="00885BCD">
        <w:rPr>
          <w:rFonts w:ascii="Times New Roman" w:hAnsi="Times New Roman" w:cs="Times New Roman"/>
          <w:sz w:val="24"/>
          <w:szCs w:val="24"/>
        </w:rPr>
        <w:t>EUR</w:t>
      </w:r>
      <w:r w:rsidRPr="005934DF">
        <w:rPr>
          <w:rFonts w:ascii="Times New Roman" w:hAnsi="Times New Roman" w:cs="Times New Roman"/>
          <w:sz w:val="24"/>
          <w:szCs w:val="24"/>
        </w:rPr>
        <w:t xml:space="preserve">, te prigodni darovi umirovljenicima Fakulteta </w:t>
      </w:r>
      <w:r w:rsidR="00A963E2">
        <w:rPr>
          <w:rFonts w:ascii="Times New Roman" w:hAnsi="Times New Roman" w:cs="Times New Roman"/>
          <w:sz w:val="24"/>
          <w:szCs w:val="24"/>
        </w:rPr>
        <w:t xml:space="preserve">(tableti, i poklon kartice) na koje su </w:t>
      </w:r>
      <w:r w:rsidRPr="005934DF">
        <w:rPr>
          <w:rFonts w:ascii="Times New Roman" w:hAnsi="Times New Roman" w:cs="Times New Roman"/>
          <w:sz w:val="24"/>
          <w:szCs w:val="24"/>
        </w:rPr>
        <w:t>obračuna</w:t>
      </w:r>
      <w:r w:rsidR="00A963E2">
        <w:rPr>
          <w:rFonts w:ascii="Times New Roman" w:hAnsi="Times New Roman" w:cs="Times New Roman"/>
          <w:sz w:val="24"/>
          <w:szCs w:val="24"/>
        </w:rPr>
        <w:t>ti</w:t>
      </w:r>
      <w:r w:rsidRPr="005934DF">
        <w:rPr>
          <w:rFonts w:ascii="Times New Roman" w:hAnsi="Times New Roman" w:cs="Times New Roman"/>
          <w:sz w:val="24"/>
          <w:szCs w:val="24"/>
        </w:rPr>
        <w:t xml:space="preserve"> porezi i doprinosi.</w:t>
      </w:r>
    </w:p>
    <w:bookmarkEnd w:id="3"/>
    <w:p w:rsidR="00843880" w:rsidRPr="00843880" w:rsidRDefault="005934DF" w:rsidP="005934DF">
      <w:pPr>
        <w:spacing w:line="240" w:lineRule="auto"/>
        <w:jc w:val="both"/>
        <w:rPr>
          <w:rFonts w:ascii="Times New Roman" w:hAnsi="Times New Roman" w:cs="Times New Roman"/>
          <w:sz w:val="24"/>
          <w:szCs w:val="24"/>
        </w:rPr>
      </w:pPr>
      <w:r w:rsidRPr="005934DF">
        <w:rPr>
          <w:rFonts w:ascii="Times New Roman" w:hAnsi="Times New Roman" w:cs="Times New Roman"/>
          <w:b/>
          <w:sz w:val="24"/>
          <w:szCs w:val="24"/>
        </w:rPr>
        <w:t>Tekuće donacije iz EU sredstava</w:t>
      </w:r>
      <w:r w:rsidRPr="005934DF">
        <w:rPr>
          <w:rFonts w:ascii="Times New Roman" w:hAnsi="Times New Roman" w:cs="Times New Roman"/>
          <w:sz w:val="24"/>
          <w:szCs w:val="24"/>
        </w:rPr>
        <w:t xml:space="preserve"> su donacije udrugama koje su bile partneri na HKO projektu Medusa i Interreg projektu DigLog koji su završeni u 2022. godini.</w:t>
      </w:r>
    </w:p>
    <w:p w:rsidR="00843880" w:rsidRPr="00C44585" w:rsidRDefault="00843880" w:rsidP="00843880">
      <w:pPr>
        <w:spacing w:line="240" w:lineRule="auto"/>
        <w:jc w:val="both"/>
        <w:rPr>
          <w:rFonts w:ascii="Times New Roman" w:hAnsi="Times New Roman" w:cs="Times New Roman"/>
          <w:b/>
          <w:sz w:val="24"/>
          <w:szCs w:val="24"/>
          <w:lang w:val="de-DE"/>
        </w:rPr>
      </w:pPr>
      <w:r w:rsidRPr="00C44585">
        <w:rPr>
          <w:rFonts w:ascii="Times New Roman" w:hAnsi="Times New Roman" w:cs="Times New Roman"/>
          <w:b/>
          <w:sz w:val="24"/>
          <w:szCs w:val="24"/>
          <w:lang w:val="de-DE"/>
        </w:rPr>
        <w:t>RASHODI ZA NABAVU NEFINANCIJSKE IMOVINE</w:t>
      </w:r>
    </w:p>
    <w:p w:rsidR="00C44585" w:rsidRPr="00C44585" w:rsidRDefault="00C44585" w:rsidP="00C44585">
      <w:pPr>
        <w:spacing w:line="240" w:lineRule="auto"/>
        <w:jc w:val="both"/>
        <w:rPr>
          <w:rFonts w:ascii="Times New Roman" w:hAnsi="Times New Roman" w:cs="Times New Roman"/>
          <w:sz w:val="24"/>
          <w:szCs w:val="24"/>
        </w:rPr>
      </w:pPr>
      <w:r w:rsidRPr="00C44585">
        <w:rPr>
          <w:rFonts w:ascii="Times New Roman" w:hAnsi="Times New Roman" w:cs="Times New Roman"/>
          <w:b/>
          <w:sz w:val="24"/>
          <w:szCs w:val="24"/>
        </w:rPr>
        <w:t>Rashodi za nabavu nefinancijske imovine</w:t>
      </w:r>
      <w:r w:rsidRPr="00C44585">
        <w:rPr>
          <w:rFonts w:ascii="Times New Roman" w:hAnsi="Times New Roman" w:cs="Times New Roman"/>
          <w:sz w:val="24"/>
          <w:szCs w:val="24"/>
        </w:rPr>
        <w:t xml:space="preserve"> ostvareni su u iznosu od 2</w:t>
      </w:r>
      <w:r w:rsidR="00A963E2">
        <w:rPr>
          <w:rFonts w:ascii="Times New Roman" w:hAnsi="Times New Roman" w:cs="Times New Roman"/>
          <w:sz w:val="24"/>
          <w:szCs w:val="24"/>
        </w:rPr>
        <w:t>59.467</w:t>
      </w:r>
      <w:r w:rsidRPr="00C44585">
        <w:rPr>
          <w:rFonts w:ascii="Times New Roman" w:hAnsi="Times New Roman" w:cs="Times New Roman"/>
          <w:sz w:val="24"/>
          <w:szCs w:val="24"/>
        </w:rPr>
        <w:t xml:space="preserve"> </w:t>
      </w:r>
      <w:r w:rsidR="00885BCD">
        <w:rPr>
          <w:rFonts w:ascii="Times New Roman" w:hAnsi="Times New Roman" w:cs="Times New Roman"/>
          <w:sz w:val="24"/>
          <w:szCs w:val="24"/>
        </w:rPr>
        <w:t>EUR</w:t>
      </w:r>
      <w:r w:rsidRPr="00C44585">
        <w:rPr>
          <w:rFonts w:ascii="Times New Roman" w:hAnsi="Times New Roman" w:cs="Times New Roman"/>
          <w:sz w:val="24"/>
          <w:szCs w:val="24"/>
        </w:rPr>
        <w:t xml:space="preserve"> što je manje za 65,</w:t>
      </w:r>
      <w:r w:rsidR="00A963E2">
        <w:rPr>
          <w:rFonts w:ascii="Times New Roman" w:hAnsi="Times New Roman" w:cs="Times New Roman"/>
          <w:sz w:val="24"/>
          <w:szCs w:val="24"/>
        </w:rPr>
        <w:t>24</w:t>
      </w:r>
      <w:r w:rsidRPr="00C44585">
        <w:rPr>
          <w:rFonts w:ascii="Times New Roman" w:hAnsi="Times New Roman" w:cs="Times New Roman"/>
          <w:sz w:val="24"/>
          <w:szCs w:val="24"/>
        </w:rPr>
        <w:t xml:space="preserve">% u odnosu prethodnu godinu. Značajno smanjenje rashoda za nefinancijsku imovinu rezultat je povećanih investicija Fakulteta tijekom 2022. godine u obnovu zgrade, a pogotovo uređenje laboratorija MasterHub i nabavu laboratorijske i znanstveno-istraživačke  opreme za projekt HRZZ-a „Engleske riječi u hrvatskome jeziku: identifikacija, afektivno semantičko normiranje i ispitivanje kognitivne obrade bihevioralnim i neuroznanstvenim metodama“ u iznosu od 69.521 </w:t>
      </w:r>
      <w:r w:rsidR="00885BCD">
        <w:rPr>
          <w:rFonts w:ascii="Times New Roman" w:hAnsi="Times New Roman" w:cs="Times New Roman"/>
          <w:sz w:val="24"/>
          <w:szCs w:val="24"/>
        </w:rPr>
        <w:t>EUR</w:t>
      </w:r>
      <w:r w:rsidRPr="00C44585">
        <w:rPr>
          <w:rFonts w:ascii="Times New Roman" w:hAnsi="Times New Roman" w:cs="Times New Roman"/>
          <w:sz w:val="24"/>
          <w:szCs w:val="24"/>
        </w:rPr>
        <w:t xml:space="preserve">. Tijekom 2023. ulagalo se u dugoročne licence za razne edukativne programe u iznosu od 7.388 </w:t>
      </w:r>
      <w:r w:rsidR="00885BCD">
        <w:rPr>
          <w:rFonts w:ascii="Times New Roman" w:hAnsi="Times New Roman" w:cs="Times New Roman"/>
          <w:sz w:val="24"/>
          <w:szCs w:val="24"/>
        </w:rPr>
        <w:t>EUR</w:t>
      </w:r>
      <w:r w:rsidRPr="00C44585">
        <w:rPr>
          <w:rFonts w:ascii="Times New Roman" w:hAnsi="Times New Roman" w:cs="Times New Roman"/>
          <w:sz w:val="24"/>
          <w:szCs w:val="24"/>
        </w:rPr>
        <w:t xml:space="preserve">, nastavak ulaganja u tuđu imovinu odnosno edukativnu radionicu Torpedo s radovima oko priprema </w:t>
      </w:r>
      <w:proofErr w:type="spellStart"/>
      <w:r w:rsidRPr="00C44585">
        <w:rPr>
          <w:rFonts w:ascii="Times New Roman" w:hAnsi="Times New Roman" w:cs="Times New Roman"/>
          <w:sz w:val="24"/>
          <w:szCs w:val="24"/>
        </w:rPr>
        <w:t>soha</w:t>
      </w:r>
      <w:proofErr w:type="spellEnd"/>
      <w:r w:rsidRPr="00C44585">
        <w:rPr>
          <w:rFonts w:ascii="Times New Roman" w:hAnsi="Times New Roman" w:cs="Times New Roman"/>
          <w:sz w:val="24"/>
          <w:szCs w:val="24"/>
        </w:rPr>
        <w:t xml:space="preserve"> u iznosu od 79.453 </w:t>
      </w:r>
      <w:r w:rsidR="00885BCD">
        <w:rPr>
          <w:rFonts w:ascii="Times New Roman" w:hAnsi="Times New Roman" w:cs="Times New Roman"/>
          <w:sz w:val="24"/>
          <w:szCs w:val="24"/>
        </w:rPr>
        <w:t>EUR</w:t>
      </w:r>
      <w:r w:rsidRPr="00C44585">
        <w:rPr>
          <w:rFonts w:ascii="Times New Roman" w:hAnsi="Times New Roman" w:cs="Times New Roman"/>
          <w:sz w:val="24"/>
          <w:szCs w:val="24"/>
        </w:rPr>
        <w:t xml:space="preserve">, računala i računalnu opremu iznosu od 83.111 </w:t>
      </w:r>
      <w:r w:rsidR="00885BCD">
        <w:rPr>
          <w:rFonts w:ascii="Times New Roman" w:hAnsi="Times New Roman" w:cs="Times New Roman"/>
          <w:sz w:val="24"/>
          <w:szCs w:val="24"/>
        </w:rPr>
        <w:t>EUR</w:t>
      </w:r>
      <w:r w:rsidRPr="00C44585">
        <w:rPr>
          <w:rFonts w:ascii="Times New Roman" w:hAnsi="Times New Roman" w:cs="Times New Roman"/>
          <w:sz w:val="24"/>
          <w:szCs w:val="24"/>
        </w:rPr>
        <w:t xml:space="preserve">, znanstveno istraživačku opremu u iznosu od 52.905 </w:t>
      </w:r>
      <w:r w:rsidR="00885BCD">
        <w:rPr>
          <w:rFonts w:ascii="Times New Roman" w:hAnsi="Times New Roman" w:cs="Times New Roman"/>
          <w:sz w:val="24"/>
          <w:szCs w:val="24"/>
        </w:rPr>
        <w:t>EUR</w:t>
      </w:r>
      <w:r w:rsidRPr="00C44585">
        <w:rPr>
          <w:rFonts w:ascii="Times New Roman" w:hAnsi="Times New Roman" w:cs="Times New Roman"/>
          <w:sz w:val="24"/>
          <w:szCs w:val="24"/>
        </w:rPr>
        <w:t xml:space="preserve">, te softversko rješenje i 3D VR opremu za učionicu 408. </w:t>
      </w:r>
    </w:p>
    <w:p w:rsidR="00C44585" w:rsidRPr="00C44585" w:rsidRDefault="00C44585" w:rsidP="00C44585">
      <w:pPr>
        <w:spacing w:line="240" w:lineRule="auto"/>
        <w:jc w:val="both"/>
        <w:rPr>
          <w:rFonts w:ascii="Times New Roman" w:hAnsi="Times New Roman" w:cs="Times New Roman"/>
          <w:sz w:val="24"/>
          <w:szCs w:val="24"/>
        </w:rPr>
      </w:pPr>
      <w:r w:rsidRPr="00C44585">
        <w:rPr>
          <w:rFonts w:ascii="Times New Roman" w:hAnsi="Times New Roman" w:cs="Times New Roman"/>
          <w:b/>
          <w:sz w:val="24"/>
          <w:szCs w:val="24"/>
        </w:rPr>
        <w:lastRenderedPageBreak/>
        <w:t>Ostala prava</w:t>
      </w:r>
      <w:r w:rsidRPr="00C44585">
        <w:rPr>
          <w:rFonts w:ascii="Times New Roman" w:hAnsi="Times New Roman" w:cs="Times New Roman"/>
          <w:sz w:val="24"/>
          <w:szCs w:val="24"/>
        </w:rPr>
        <w:t xml:space="preserve"> odnose se na ulaganje u bivši prostor tvornice Torpedo koji je u vlasništvu Luke Rijeka, a Fakultet ga koristi  putem ugovora o zakupu i obnavlja za potrebe  edukacijske radionice za studente. Krajem 2021. ulaganje je završeno, radionica se koristiti za potrebe obavljanja prakse i radionice studenata. Ukupna vrijednost ulaganja premašuje 600.000 </w:t>
      </w:r>
      <w:r w:rsidR="00885BCD">
        <w:rPr>
          <w:rFonts w:ascii="Times New Roman" w:hAnsi="Times New Roman" w:cs="Times New Roman"/>
          <w:sz w:val="24"/>
          <w:szCs w:val="24"/>
        </w:rPr>
        <w:t>EUR</w:t>
      </w:r>
      <w:r w:rsidRPr="00C44585">
        <w:rPr>
          <w:rFonts w:ascii="Times New Roman" w:hAnsi="Times New Roman" w:cs="Times New Roman"/>
          <w:sz w:val="24"/>
          <w:szCs w:val="24"/>
        </w:rPr>
        <w:t>.</w:t>
      </w:r>
    </w:p>
    <w:p w:rsidR="00C44585" w:rsidRPr="00C44585" w:rsidRDefault="00C44585" w:rsidP="00C44585">
      <w:pPr>
        <w:spacing w:line="240" w:lineRule="auto"/>
        <w:jc w:val="both"/>
        <w:rPr>
          <w:rFonts w:ascii="Times New Roman" w:hAnsi="Times New Roman" w:cs="Times New Roman"/>
          <w:sz w:val="24"/>
          <w:szCs w:val="24"/>
        </w:rPr>
      </w:pPr>
      <w:r w:rsidRPr="00C44585">
        <w:rPr>
          <w:rFonts w:ascii="Times New Roman" w:hAnsi="Times New Roman" w:cs="Times New Roman"/>
          <w:sz w:val="24"/>
          <w:szCs w:val="24"/>
        </w:rPr>
        <w:t xml:space="preserve">Instrumenti, uređaji i strojevi odnose se na nabavu posebnih strojeva i uređaja u 2022. godini za potrebe edukativne radionice Torpedo, poput prijenosne portalne dizalice u iznosu od 21.216 </w:t>
      </w:r>
      <w:r w:rsidR="00885BCD">
        <w:rPr>
          <w:rFonts w:ascii="Times New Roman" w:hAnsi="Times New Roman" w:cs="Times New Roman"/>
          <w:sz w:val="24"/>
          <w:szCs w:val="24"/>
        </w:rPr>
        <w:t>EUR</w:t>
      </w:r>
      <w:r w:rsidRPr="00C44585">
        <w:rPr>
          <w:rFonts w:ascii="Times New Roman" w:hAnsi="Times New Roman" w:cs="Times New Roman"/>
          <w:sz w:val="24"/>
          <w:szCs w:val="24"/>
        </w:rPr>
        <w:t xml:space="preserve">  i dizalice za brzu brodicu za prikupljanje portalne dizalice u iznosu od 31.130 </w:t>
      </w:r>
      <w:r w:rsidR="00885BCD">
        <w:rPr>
          <w:rFonts w:ascii="Times New Roman" w:hAnsi="Times New Roman" w:cs="Times New Roman"/>
          <w:sz w:val="24"/>
          <w:szCs w:val="24"/>
        </w:rPr>
        <w:t>EUR</w:t>
      </w:r>
      <w:r w:rsidRPr="00C44585">
        <w:rPr>
          <w:rFonts w:ascii="Times New Roman" w:hAnsi="Times New Roman" w:cs="Times New Roman"/>
          <w:sz w:val="24"/>
          <w:szCs w:val="24"/>
        </w:rPr>
        <w:t xml:space="preserve">, te su zbog toga značajno veća u odnosu na 2023. godinu. </w:t>
      </w:r>
    </w:p>
    <w:p w:rsidR="00C44585" w:rsidRPr="00C44585" w:rsidRDefault="00C44585" w:rsidP="00C44585">
      <w:pPr>
        <w:spacing w:line="240" w:lineRule="auto"/>
        <w:jc w:val="both"/>
        <w:rPr>
          <w:rFonts w:ascii="Times New Roman" w:hAnsi="Times New Roman" w:cs="Times New Roman"/>
          <w:sz w:val="24"/>
          <w:szCs w:val="24"/>
        </w:rPr>
      </w:pPr>
      <w:r w:rsidRPr="00C44585">
        <w:rPr>
          <w:rFonts w:ascii="Times New Roman" w:hAnsi="Times New Roman" w:cs="Times New Roman"/>
          <w:b/>
          <w:sz w:val="24"/>
          <w:szCs w:val="24"/>
        </w:rPr>
        <w:t>Ulaganje u računalne programe</w:t>
      </w:r>
      <w:r w:rsidRPr="00C44585">
        <w:rPr>
          <w:rFonts w:ascii="Times New Roman" w:hAnsi="Times New Roman" w:cs="Times New Roman"/>
          <w:sz w:val="24"/>
          <w:szCs w:val="24"/>
        </w:rPr>
        <w:t xml:space="preserve"> u 2022. godini bila je nabava softvera za nadogradnju navigacijskog simulatora u iznosu od 39.419 </w:t>
      </w:r>
      <w:r w:rsidR="00885BCD">
        <w:rPr>
          <w:rFonts w:ascii="Times New Roman" w:hAnsi="Times New Roman" w:cs="Times New Roman"/>
          <w:sz w:val="24"/>
          <w:szCs w:val="24"/>
        </w:rPr>
        <w:t>EUR</w:t>
      </w:r>
      <w:r w:rsidRPr="00C44585">
        <w:rPr>
          <w:rFonts w:ascii="Times New Roman" w:hAnsi="Times New Roman" w:cs="Times New Roman"/>
          <w:sz w:val="24"/>
          <w:szCs w:val="24"/>
        </w:rPr>
        <w:t xml:space="preserve">, programi nabavljeni u sklopu HKO projekta Pandora „Promicanje izvrsnosti vještina za tržište rada kroz institucionalizaciju stručne prakse u pomorskom obrazovanju“ u iznosu od 36.641 </w:t>
      </w:r>
      <w:r w:rsidR="00885BCD">
        <w:rPr>
          <w:rFonts w:ascii="Times New Roman" w:hAnsi="Times New Roman" w:cs="Times New Roman"/>
          <w:sz w:val="24"/>
          <w:szCs w:val="24"/>
        </w:rPr>
        <w:t>EUR</w:t>
      </w:r>
      <w:r w:rsidRPr="00C44585">
        <w:rPr>
          <w:rFonts w:ascii="Times New Roman" w:hAnsi="Times New Roman" w:cs="Times New Roman"/>
          <w:sz w:val="24"/>
          <w:szCs w:val="24"/>
        </w:rPr>
        <w:t xml:space="preserve"> i paketi programa za laboratorijsku opremu radionici Torpedo u iznosu od 43.694,65 </w:t>
      </w:r>
      <w:r w:rsidR="00885BCD">
        <w:rPr>
          <w:rFonts w:ascii="Times New Roman" w:hAnsi="Times New Roman" w:cs="Times New Roman"/>
          <w:sz w:val="24"/>
          <w:szCs w:val="24"/>
        </w:rPr>
        <w:t>EUR</w:t>
      </w:r>
      <w:r w:rsidRPr="00C44585">
        <w:rPr>
          <w:rFonts w:ascii="Times New Roman" w:hAnsi="Times New Roman" w:cs="Times New Roman"/>
          <w:sz w:val="24"/>
          <w:szCs w:val="24"/>
        </w:rPr>
        <w:t xml:space="preserve">. U 2023. godini nabavljeno </w:t>
      </w:r>
      <w:r w:rsidR="00A963E2" w:rsidRPr="00C44585">
        <w:rPr>
          <w:rFonts w:ascii="Times New Roman" w:hAnsi="Times New Roman" w:cs="Times New Roman"/>
          <w:sz w:val="24"/>
          <w:szCs w:val="24"/>
        </w:rPr>
        <w:t xml:space="preserve">je </w:t>
      </w:r>
      <w:r w:rsidRPr="00C44585">
        <w:rPr>
          <w:rFonts w:ascii="Times New Roman" w:hAnsi="Times New Roman" w:cs="Times New Roman"/>
          <w:sz w:val="24"/>
          <w:szCs w:val="24"/>
        </w:rPr>
        <w:t xml:space="preserve">programsko rješenje za 3D VR simulator. </w:t>
      </w:r>
    </w:p>
    <w:p w:rsidR="00843880" w:rsidRPr="00843880" w:rsidRDefault="00843880" w:rsidP="00843880">
      <w:pPr>
        <w:spacing w:line="240" w:lineRule="auto"/>
        <w:jc w:val="both"/>
        <w:rPr>
          <w:rFonts w:ascii="Times New Roman" w:hAnsi="Times New Roman" w:cs="Times New Roman"/>
          <w:sz w:val="24"/>
          <w:szCs w:val="24"/>
        </w:rPr>
      </w:pPr>
      <w:r w:rsidRPr="00843880">
        <w:rPr>
          <w:rFonts w:ascii="Times New Roman" w:hAnsi="Times New Roman" w:cs="Times New Roman"/>
          <w:b/>
          <w:sz w:val="24"/>
          <w:szCs w:val="24"/>
        </w:rPr>
        <w:t xml:space="preserve">IZDACI ZA FINANCIJSKU IMOVINU I DEPOZITE </w:t>
      </w:r>
      <w:r w:rsidRPr="00843880">
        <w:rPr>
          <w:rFonts w:ascii="Times New Roman" w:hAnsi="Times New Roman" w:cs="Times New Roman"/>
          <w:sz w:val="24"/>
          <w:szCs w:val="24"/>
        </w:rPr>
        <w:t xml:space="preserve">u iznosu od </w:t>
      </w:r>
      <w:r w:rsidR="00B645EE">
        <w:rPr>
          <w:rFonts w:ascii="Times New Roman" w:hAnsi="Times New Roman" w:cs="Times New Roman"/>
          <w:sz w:val="24"/>
          <w:szCs w:val="24"/>
        </w:rPr>
        <w:t>17.500 EUR</w:t>
      </w:r>
      <w:r w:rsidRPr="00843880">
        <w:rPr>
          <w:rFonts w:ascii="Times New Roman" w:hAnsi="Times New Roman" w:cs="Times New Roman"/>
          <w:sz w:val="24"/>
          <w:szCs w:val="24"/>
        </w:rPr>
        <w:t xml:space="preserve"> odnose se na uplatu depozita kao </w:t>
      </w:r>
      <w:proofErr w:type="spellStart"/>
      <w:r w:rsidRPr="00843880">
        <w:rPr>
          <w:rFonts w:ascii="Times New Roman" w:hAnsi="Times New Roman" w:cs="Times New Roman"/>
          <w:sz w:val="24"/>
          <w:szCs w:val="24"/>
        </w:rPr>
        <w:t>jamčevnog</w:t>
      </w:r>
      <w:proofErr w:type="spellEnd"/>
      <w:r w:rsidRPr="00843880">
        <w:rPr>
          <w:rFonts w:ascii="Times New Roman" w:hAnsi="Times New Roman" w:cs="Times New Roman"/>
          <w:sz w:val="24"/>
          <w:szCs w:val="24"/>
        </w:rPr>
        <w:t xml:space="preserve"> pologa za uredno izvršenje ugovora koji se će biti izvršen u sljedećoj godini</w:t>
      </w:r>
      <w:r w:rsidR="00B645EE">
        <w:rPr>
          <w:rFonts w:ascii="Times New Roman" w:hAnsi="Times New Roman" w:cs="Times New Roman"/>
          <w:sz w:val="24"/>
          <w:szCs w:val="24"/>
        </w:rPr>
        <w:t xml:space="preserve">, </w:t>
      </w:r>
      <w:r w:rsidRPr="00843880">
        <w:rPr>
          <w:rFonts w:ascii="Times New Roman" w:hAnsi="Times New Roman" w:cs="Times New Roman"/>
          <w:sz w:val="24"/>
          <w:szCs w:val="24"/>
        </w:rPr>
        <w:t>a odnosi se na stručni projekt</w:t>
      </w:r>
      <w:r w:rsidR="00B645EE">
        <w:rPr>
          <w:rFonts w:ascii="Times New Roman" w:hAnsi="Times New Roman" w:cs="Times New Roman"/>
          <w:sz w:val="24"/>
          <w:szCs w:val="24"/>
        </w:rPr>
        <w:t xml:space="preserve"> u iznosu 2.500 EUR i uplatu osnivačkog pologa za tvrtku </w:t>
      </w:r>
      <w:proofErr w:type="spellStart"/>
      <w:r w:rsidR="00B645EE">
        <w:rPr>
          <w:rFonts w:ascii="Times New Roman" w:hAnsi="Times New Roman" w:cs="Times New Roman"/>
          <w:sz w:val="24"/>
          <w:szCs w:val="24"/>
        </w:rPr>
        <w:t>MariPoint</w:t>
      </w:r>
      <w:proofErr w:type="spellEnd"/>
      <w:r w:rsidR="00B645EE">
        <w:rPr>
          <w:rFonts w:ascii="Times New Roman" w:hAnsi="Times New Roman" w:cs="Times New Roman"/>
          <w:sz w:val="24"/>
          <w:szCs w:val="24"/>
        </w:rPr>
        <w:t xml:space="preserve"> d.o.o. u iznosu 15.000 EUR.</w:t>
      </w:r>
      <w:r w:rsidRPr="00843880">
        <w:rPr>
          <w:rFonts w:ascii="Times New Roman" w:hAnsi="Times New Roman" w:cs="Times New Roman"/>
          <w:sz w:val="24"/>
          <w:szCs w:val="24"/>
        </w:rPr>
        <w:t xml:space="preserve">   </w:t>
      </w:r>
    </w:p>
    <w:p w:rsidR="00536E9A" w:rsidRDefault="00536E9A" w:rsidP="00624C16">
      <w:pPr>
        <w:spacing w:line="240" w:lineRule="auto"/>
        <w:jc w:val="both"/>
        <w:rPr>
          <w:rFonts w:ascii="Times New Roman" w:hAnsi="Times New Roman" w:cs="Times New Roman"/>
          <w:b/>
          <w:sz w:val="24"/>
          <w:szCs w:val="24"/>
        </w:rPr>
      </w:pPr>
    </w:p>
    <w:p w:rsidR="00F471E7" w:rsidRPr="00AE2812" w:rsidRDefault="00F471E7" w:rsidP="00624C16">
      <w:pPr>
        <w:spacing w:line="240" w:lineRule="auto"/>
        <w:jc w:val="both"/>
        <w:rPr>
          <w:rFonts w:ascii="Times New Roman" w:hAnsi="Times New Roman" w:cs="Times New Roman"/>
          <w:b/>
          <w:sz w:val="24"/>
          <w:szCs w:val="24"/>
        </w:rPr>
      </w:pPr>
      <w:r w:rsidRPr="00AE2812">
        <w:rPr>
          <w:rFonts w:ascii="Times New Roman" w:hAnsi="Times New Roman" w:cs="Times New Roman"/>
          <w:b/>
          <w:sz w:val="24"/>
          <w:szCs w:val="24"/>
        </w:rPr>
        <w:t>PRIJENOS SREDSTAVA IZ PRETHODNE U SLJEDEĆU GODINU</w:t>
      </w:r>
    </w:p>
    <w:p w:rsidR="00DB145C" w:rsidRDefault="00DB145C"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Prijenos sredstava</w:t>
      </w:r>
      <w:r w:rsidR="008616AC">
        <w:rPr>
          <w:rFonts w:ascii="Times New Roman" w:hAnsi="Times New Roman" w:cs="Times New Roman"/>
          <w:sz w:val="24"/>
          <w:szCs w:val="24"/>
        </w:rPr>
        <w:t xml:space="preserve"> po izvorima financiranja</w:t>
      </w:r>
      <w:r>
        <w:rPr>
          <w:rFonts w:ascii="Times New Roman" w:hAnsi="Times New Roman" w:cs="Times New Roman"/>
          <w:sz w:val="24"/>
          <w:szCs w:val="24"/>
        </w:rPr>
        <w:t xml:space="preserve"> iz prethodne u sljedeću godinu izgleda kako slijedi:</w:t>
      </w:r>
    </w:p>
    <w:tbl>
      <w:tblPr>
        <w:tblW w:w="0" w:type="auto"/>
        <w:tblLook w:val="04A0" w:firstRow="1" w:lastRow="0" w:firstColumn="1" w:lastColumn="0" w:noHBand="0" w:noVBand="1"/>
      </w:tblPr>
      <w:tblGrid>
        <w:gridCol w:w="686"/>
        <w:gridCol w:w="856"/>
        <w:gridCol w:w="901"/>
        <w:gridCol w:w="991"/>
        <w:gridCol w:w="903"/>
        <w:gridCol w:w="986"/>
        <w:gridCol w:w="901"/>
        <w:gridCol w:w="936"/>
        <w:gridCol w:w="856"/>
        <w:gridCol w:w="1056"/>
      </w:tblGrid>
      <w:tr w:rsidR="006A1AD2" w:rsidTr="005934DF">
        <w:trPr>
          <w:trHeight w:val="380"/>
        </w:trPr>
        <w:tc>
          <w:tcPr>
            <w:tcW w:w="686" w:type="dxa"/>
            <w:vMerge w:val="restart"/>
          </w:tcPr>
          <w:p w:rsidR="006A1AD2" w:rsidRDefault="006A1AD2" w:rsidP="00624C16">
            <w:pPr>
              <w:jc w:val="both"/>
              <w:rPr>
                <w:rFonts w:ascii="Times New Roman" w:hAnsi="Times New Roman" w:cs="Times New Roman"/>
                <w:sz w:val="24"/>
                <w:szCs w:val="24"/>
              </w:rPr>
            </w:pPr>
          </w:p>
        </w:tc>
        <w:tc>
          <w:tcPr>
            <w:tcW w:w="8386" w:type="dxa"/>
            <w:gridSpan w:val="9"/>
          </w:tcPr>
          <w:p w:rsidR="006A1AD2" w:rsidRPr="0041694B" w:rsidRDefault="006A1AD2" w:rsidP="0041694B">
            <w:pPr>
              <w:jc w:val="center"/>
              <w:rPr>
                <w:rFonts w:ascii="Times New Roman" w:hAnsi="Times New Roman" w:cs="Times New Roman"/>
                <w:b/>
                <w:sz w:val="24"/>
                <w:szCs w:val="24"/>
              </w:rPr>
            </w:pPr>
            <w:r w:rsidRPr="0041694B">
              <w:rPr>
                <w:rFonts w:ascii="Times New Roman" w:hAnsi="Times New Roman" w:cs="Times New Roman"/>
                <w:b/>
                <w:sz w:val="24"/>
                <w:szCs w:val="24"/>
              </w:rPr>
              <w:t>2023.</w:t>
            </w:r>
          </w:p>
        </w:tc>
      </w:tr>
      <w:tr w:rsidR="006A1AD2" w:rsidTr="005934DF">
        <w:tc>
          <w:tcPr>
            <w:tcW w:w="686" w:type="dxa"/>
            <w:vMerge/>
          </w:tcPr>
          <w:p w:rsidR="006A1AD2" w:rsidRDefault="006A1AD2" w:rsidP="00624C16">
            <w:pPr>
              <w:jc w:val="both"/>
              <w:rPr>
                <w:rFonts w:ascii="Times New Roman" w:hAnsi="Times New Roman" w:cs="Times New Roman"/>
                <w:sz w:val="24"/>
                <w:szCs w:val="24"/>
              </w:rPr>
            </w:pPr>
          </w:p>
        </w:tc>
        <w:tc>
          <w:tcPr>
            <w:tcW w:w="856" w:type="dxa"/>
          </w:tcPr>
          <w:p w:rsidR="006A1AD2" w:rsidRPr="006A1AD2" w:rsidRDefault="006A1AD2" w:rsidP="0041694B">
            <w:pPr>
              <w:jc w:val="center"/>
              <w:rPr>
                <w:rFonts w:ascii="Times New Roman" w:hAnsi="Times New Roman" w:cs="Times New Roman"/>
                <w:sz w:val="20"/>
                <w:szCs w:val="20"/>
              </w:rPr>
            </w:pPr>
            <w:r w:rsidRPr="006A1AD2">
              <w:rPr>
                <w:rFonts w:ascii="Times New Roman" w:hAnsi="Times New Roman" w:cs="Times New Roman"/>
                <w:sz w:val="20"/>
                <w:szCs w:val="20"/>
              </w:rPr>
              <w:t>11</w:t>
            </w:r>
          </w:p>
        </w:tc>
        <w:tc>
          <w:tcPr>
            <w:tcW w:w="901" w:type="dxa"/>
          </w:tcPr>
          <w:p w:rsidR="006A1AD2" w:rsidRPr="006A1AD2" w:rsidRDefault="006A1AD2" w:rsidP="0041694B">
            <w:pPr>
              <w:jc w:val="center"/>
              <w:rPr>
                <w:rFonts w:ascii="Times New Roman" w:hAnsi="Times New Roman" w:cs="Times New Roman"/>
                <w:sz w:val="20"/>
                <w:szCs w:val="20"/>
              </w:rPr>
            </w:pPr>
            <w:r w:rsidRPr="006A1AD2">
              <w:rPr>
                <w:rFonts w:ascii="Times New Roman" w:hAnsi="Times New Roman" w:cs="Times New Roman"/>
                <w:sz w:val="20"/>
                <w:szCs w:val="20"/>
              </w:rPr>
              <w:t>12</w:t>
            </w:r>
          </w:p>
        </w:tc>
        <w:tc>
          <w:tcPr>
            <w:tcW w:w="991" w:type="dxa"/>
          </w:tcPr>
          <w:p w:rsidR="006A1AD2" w:rsidRPr="006A1AD2" w:rsidRDefault="006A1AD2" w:rsidP="0041694B">
            <w:pPr>
              <w:jc w:val="center"/>
              <w:rPr>
                <w:rFonts w:ascii="Times New Roman" w:hAnsi="Times New Roman" w:cs="Times New Roman"/>
                <w:sz w:val="20"/>
                <w:szCs w:val="20"/>
              </w:rPr>
            </w:pPr>
            <w:r w:rsidRPr="006A1AD2">
              <w:rPr>
                <w:rFonts w:ascii="Times New Roman" w:hAnsi="Times New Roman" w:cs="Times New Roman"/>
                <w:sz w:val="20"/>
                <w:szCs w:val="20"/>
              </w:rPr>
              <w:t>31</w:t>
            </w:r>
          </w:p>
        </w:tc>
        <w:tc>
          <w:tcPr>
            <w:tcW w:w="903" w:type="dxa"/>
          </w:tcPr>
          <w:p w:rsidR="006A1AD2" w:rsidRPr="006A1AD2" w:rsidRDefault="006A1AD2" w:rsidP="0041694B">
            <w:pPr>
              <w:jc w:val="center"/>
              <w:rPr>
                <w:rFonts w:ascii="Times New Roman" w:hAnsi="Times New Roman" w:cs="Times New Roman"/>
                <w:sz w:val="20"/>
                <w:szCs w:val="20"/>
              </w:rPr>
            </w:pPr>
            <w:r w:rsidRPr="006A1AD2">
              <w:rPr>
                <w:rFonts w:ascii="Times New Roman" w:hAnsi="Times New Roman" w:cs="Times New Roman"/>
                <w:sz w:val="20"/>
                <w:szCs w:val="20"/>
              </w:rPr>
              <w:t>43</w:t>
            </w:r>
          </w:p>
        </w:tc>
        <w:tc>
          <w:tcPr>
            <w:tcW w:w="986" w:type="dxa"/>
          </w:tcPr>
          <w:p w:rsidR="006A1AD2" w:rsidRPr="006A1AD2" w:rsidRDefault="006A1AD2" w:rsidP="0041694B">
            <w:pPr>
              <w:jc w:val="center"/>
              <w:rPr>
                <w:rFonts w:ascii="Times New Roman" w:hAnsi="Times New Roman" w:cs="Times New Roman"/>
                <w:sz w:val="20"/>
                <w:szCs w:val="20"/>
              </w:rPr>
            </w:pPr>
            <w:r w:rsidRPr="006A1AD2">
              <w:rPr>
                <w:rFonts w:ascii="Times New Roman" w:hAnsi="Times New Roman" w:cs="Times New Roman"/>
                <w:sz w:val="20"/>
                <w:szCs w:val="20"/>
              </w:rPr>
              <w:t>51</w:t>
            </w:r>
          </w:p>
        </w:tc>
        <w:tc>
          <w:tcPr>
            <w:tcW w:w="901" w:type="dxa"/>
          </w:tcPr>
          <w:p w:rsidR="006A1AD2" w:rsidRPr="006A1AD2" w:rsidRDefault="006A1AD2" w:rsidP="0041694B">
            <w:pPr>
              <w:jc w:val="center"/>
              <w:rPr>
                <w:rFonts w:ascii="Times New Roman" w:hAnsi="Times New Roman" w:cs="Times New Roman"/>
                <w:sz w:val="20"/>
                <w:szCs w:val="20"/>
              </w:rPr>
            </w:pPr>
            <w:r w:rsidRPr="006A1AD2">
              <w:rPr>
                <w:rFonts w:ascii="Times New Roman" w:hAnsi="Times New Roman" w:cs="Times New Roman"/>
                <w:sz w:val="20"/>
                <w:szCs w:val="20"/>
              </w:rPr>
              <w:t>52</w:t>
            </w:r>
          </w:p>
        </w:tc>
        <w:tc>
          <w:tcPr>
            <w:tcW w:w="936" w:type="dxa"/>
          </w:tcPr>
          <w:p w:rsidR="006A1AD2" w:rsidRPr="006A1AD2" w:rsidRDefault="006A1AD2" w:rsidP="0041694B">
            <w:pPr>
              <w:jc w:val="center"/>
              <w:rPr>
                <w:rFonts w:ascii="Times New Roman" w:hAnsi="Times New Roman" w:cs="Times New Roman"/>
                <w:sz w:val="20"/>
                <w:szCs w:val="20"/>
              </w:rPr>
            </w:pPr>
            <w:r w:rsidRPr="006A1AD2">
              <w:rPr>
                <w:rFonts w:ascii="Times New Roman" w:hAnsi="Times New Roman" w:cs="Times New Roman"/>
                <w:sz w:val="20"/>
                <w:szCs w:val="20"/>
              </w:rPr>
              <w:t>561</w:t>
            </w:r>
          </w:p>
        </w:tc>
        <w:tc>
          <w:tcPr>
            <w:tcW w:w="856" w:type="dxa"/>
          </w:tcPr>
          <w:p w:rsidR="006A1AD2" w:rsidRPr="006A1AD2" w:rsidRDefault="006A1AD2" w:rsidP="0041694B">
            <w:pPr>
              <w:jc w:val="center"/>
              <w:rPr>
                <w:rFonts w:ascii="Times New Roman" w:hAnsi="Times New Roman" w:cs="Times New Roman"/>
                <w:sz w:val="20"/>
                <w:szCs w:val="20"/>
              </w:rPr>
            </w:pPr>
            <w:r w:rsidRPr="006A1AD2">
              <w:rPr>
                <w:rFonts w:ascii="Times New Roman" w:hAnsi="Times New Roman" w:cs="Times New Roman"/>
                <w:sz w:val="20"/>
                <w:szCs w:val="20"/>
              </w:rPr>
              <w:t>61</w:t>
            </w:r>
          </w:p>
        </w:tc>
        <w:tc>
          <w:tcPr>
            <w:tcW w:w="1056" w:type="dxa"/>
          </w:tcPr>
          <w:p w:rsidR="006A1AD2" w:rsidRPr="006A1AD2" w:rsidRDefault="006A1AD2" w:rsidP="0041694B">
            <w:pPr>
              <w:jc w:val="center"/>
              <w:rPr>
                <w:rFonts w:ascii="Times New Roman" w:hAnsi="Times New Roman" w:cs="Times New Roman"/>
                <w:sz w:val="20"/>
                <w:szCs w:val="20"/>
              </w:rPr>
            </w:pPr>
            <w:r w:rsidRPr="006A1AD2">
              <w:rPr>
                <w:rFonts w:ascii="Times New Roman" w:hAnsi="Times New Roman" w:cs="Times New Roman"/>
                <w:sz w:val="20"/>
                <w:szCs w:val="20"/>
              </w:rPr>
              <w:t>Ukupno</w:t>
            </w:r>
          </w:p>
        </w:tc>
      </w:tr>
      <w:tr w:rsidR="006A1AD2" w:rsidRPr="006A1AD2" w:rsidTr="005934DF">
        <w:tc>
          <w:tcPr>
            <w:tcW w:w="686" w:type="dxa"/>
          </w:tcPr>
          <w:p w:rsidR="006A1AD2" w:rsidRPr="006A1AD2" w:rsidRDefault="006A1AD2" w:rsidP="0041694B">
            <w:pPr>
              <w:rPr>
                <w:rFonts w:ascii="Times New Roman" w:hAnsi="Times New Roman" w:cs="Times New Roman"/>
                <w:sz w:val="16"/>
                <w:szCs w:val="16"/>
              </w:rPr>
            </w:pPr>
            <w:r w:rsidRPr="006A1AD2">
              <w:rPr>
                <w:rFonts w:ascii="Times New Roman" w:hAnsi="Times New Roman" w:cs="Times New Roman"/>
                <w:sz w:val="16"/>
                <w:szCs w:val="16"/>
              </w:rPr>
              <w:t>Donos</w:t>
            </w:r>
          </w:p>
        </w:tc>
        <w:tc>
          <w:tcPr>
            <w:tcW w:w="856" w:type="dxa"/>
          </w:tcPr>
          <w:p w:rsidR="006A1AD2" w:rsidRPr="006A1AD2" w:rsidRDefault="006A1AD2" w:rsidP="0041694B">
            <w:pPr>
              <w:jc w:val="both"/>
              <w:rPr>
                <w:rFonts w:ascii="Times New Roman" w:hAnsi="Times New Roman" w:cs="Times New Roman"/>
                <w:sz w:val="16"/>
                <w:szCs w:val="16"/>
              </w:rPr>
            </w:pPr>
            <w:r w:rsidRPr="006A1AD2">
              <w:rPr>
                <w:rFonts w:ascii="Times New Roman" w:hAnsi="Times New Roman" w:cs="Times New Roman"/>
                <w:sz w:val="16"/>
                <w:szCs w:val="16"/>
              </w:rPr>
              <w:t>6.329</w:t>
            </w:r>
            <w:r>
              <w:rPr>
                <w:rFonts w:ascii="Times New Roman" w:hAnsi="Times New Roman" w:cs="Times New Roman"/>
                <w:sz w:val="16"/>
                <w:szCs w:val="16"/>
              </w:rPr>
              <w:t>,00</w:t>
            </w:r>
          </w:p>
        </w:tc>
        <w:tc>
          <w:tcPr>
            <w:tcW w:w="901" w:type="dxa"/>
          </w:tcPr>
          <w:p w:rsidR="006A1AD2" w:rsidRPr="006A1AD2" w:rsidRDefault="006A1AD2" w:rsidP="0041694B">
            <w:pPr>
              <w:jc w:val="both"/>
              <w:rPr>
                <w:rFonts w:ascii="Times New Roman" w:hAnsi="Times New Roman" w:cs="Times New Roman"/>
                <w:sz w:val="16"/>
                <w:szCs w:val="16"/>
              </w:rPr>
            </w:pPr>
            <w:r w:rsidRPr="006A1AD2">
              <w:rPr>
                <w:rFonts w:ascii="Times New Roman" w:hAnsi="Times New Roman" w:cs="Times New Roman"/>
                <w:sz w:val="16"/>
                <w:szCs w:val="16"/>
              </w:rPr>
              <w:t>17.257,24</w:t>
            </w:r>
          </w:p>
        </w:tc>
        <w:tc>
          <w:tcPr>
            <w:tcW w:w="991" w:type="dxa"/>
          </w:tcPr>
          <w:p w:rsidR="006A1AD2" w:rsidRPr="006A1AD2" w:rsidRDefault="006A1AD2" w:rsidP="0041694B">
            <w:pPr>
              <w:jc w:val="both"/>
              <w:rPr>
                <w:rFonts w:ascii="Times New Roman" w:hAnsi="Times New Roman" w:cs="Times New Roman"/>
                <w:sz w:val="16"/>
                <w:szCs w:val="16"/>
              </w:rPr>
            </w:pPr>
            <w:r w:rsidRPr="006A1AD2">
              <w:rPr>
                <w:rFonts w:ascii="Times New Roman" w:hAnsi="Times New Roman" w:cs="Times New Roman"/>
                <w:sz w:val="16"/>
                <w:szCs w:val="16"/>
              </w:rPr>
              <w:t>339.167,06</w:t>
            </w:r>
          </w:p>
        </w:tc>
        <w:tc>
          <w:tcPr>
            <w:tcW w:w="903" w:type="dxa"/>
          </w:tcPr>
          <w:p w:rsidR="006A1AD2" w:rsidRPr="006A1AD2" w:rsidRDefault="006A1AD2" w:rsidP="0041694B">
            <w:pPr>
              <w:jc w:val="both"/>
              <w:rPr>
                <w:rFonts w:ascii="Times New Roman" w:hAnsi="Times New Roman" w:cs="Times New Roman"/>
                <w:sz w:val="16"/>
                <w:szCs w:val="16"/>
              </w:rPr>
            </w:pPr>
            <w:r w:rsidRPr="006A1AD2">
              <w:rPr>
                <w:rFonts w:ascii="Times New Roman" w:hAnsi="Times New Roman" w:cs="Times New Roman"/>
                <w:sz w:val="16"/>
                <w:szCs w:val="16"/>
              </w:rPr>
              <w:t>49.801,43</w:t>
            </w:r>
          </w:p>
        </w:tc>
        <w:tc>
          <w:tcPr>
            <w:tcW w:w="986" w:type="dxa"/>
          </w:tcPr>
          <w:p w:rsidR="006A1AD2" w:rsidRPr="006A1AD2" w:rsidRDefault="006A1AD2" w:rsidP="0041694B">
            <w:pPr>
              <w:jc w:val="both"/>
              <w:rPr>
                <w:rFonts w:ascii="Times New Roman" w:hAnsi="Times New Roman" w:cs="Times New Roman"/>
                <w:sz w:val="16"/>
                <w:szCs w:val="16"/>
              </w:rPr>
            </w:pPr>
            <w:r w:rsidRPr="006A1AD2">
              <w:rPr>
                <w:rFonts w:ascii="Times New Roman" w:hAnsi="Times New Roman" w:cs="Times New Roman"/>
                <w:sz w:val="16"/>
                <w:szCs w:val="16"/>
              </w:rPr>
              <w:t>790.259,68</w:t>
            </w:r>
          </w:p>
        </w:tc>
        <w:tc>
          <w:tcPr>
            <w:tcW w:w="901" w:type="dxa"/>
          </w:tcPr>
          <w:p w:rsidR="006A1AD2" w:rsidRPr="006A1AD2" w:rsidRDefault="006A1AD2" w:rsidP="0041694B">
            <w:pPr>
              <w:jc w:val="both"/>
              <w:rPr>
                <w:rFonts w:ascii="Times New Roman" w:hAnsi="Times New Roman" w:cs="Times New Roman"/>
                <w:sz w:val="16"/>
                <w:szCs w:val="16"/>
              </w:rPr>
            </w:pPr>
            <w:r w:rsidRPr="006A1AD2">
              <w:rPr>
                <w:rFonts w:ascii="Times New Roman" w:hAnsi="Times New Roman" w:cs="Times New Roman"/>
                <w:sz w:val="16"/>
                <w:szCs w:val="16"/>
              </w:rPr>
              <w:t>43.087,45</w:t>
            </w:r>
          </w:p>
        </w:tc>
        <w:tc>
          <w:tcPr>
            <w:tcW w:w="936" w:type="dxa"/>
          </w:tcPr>
          <w:p w:rsidR="006A1AD2" w:rsidRPr="006A1AD2" w:rsidRDefault="006A1AD2" w:rsidP="0041694B">
            <w:pPr>
              <w:jc w:val="both"/>
              <w:rPr>
                <w:rFonts w:ascii="Times New Roman" w:hAnsi="Times New Roman" w:cs="Times New Roman"/>
                <w:sz w:val="16"/>
                <w:szCs w:val="16"/>
              </w:rPr>
            </w:pPr>
            <w:r w:rsidRPr="006A1AD2">
              <w:rPr>
                <w:rFonts w:ascii="Times New Roman" w:hAnsi="Times New Roman" w:cs="Times New Roman"/>
                <w:sz w:val="16"/>
                <w:szCs w:val="16"/>
              </w:rPr>
              <w:t>97.791,10</w:t>
            </w:r>
          </w:p>
        </w:tc>
        <w:tc>
          <w:tcPr>
            <w:tcW w:w="856" w:type="dxa"/>
          </w:tcPr>
          <w:p w:rsidR="006A1AD2" w:rsidRPr="006A1AD2" w:rsidRDefault="006A1AD2" w:rsidP="0041694B">
            <w:pPr>
              <w:jc w:val="both"/>
              <w:rPr>
                <w:rFonts w:ascii="Times New Roman" w:hAnsi="Times New Roman" w:cs="Times New Roman"/>
                <w:sz w:val="16"/>
                <w:szCs w:val="16"/>
              </w:rPr>
            </w:pPr>
            <w:r w:rsidRPr="006A1AD2">
              <w:rPr>
                <w:rFonts w:ascii="Times New Roman" w:hAnsi="Times New Roman" w:cs="Times New Roman"/>
                <w:sz w:val="16"/>
                <w:szCs w:val="16"/>
              </w:rPr>
              <w:t>50.485,50</w:t>
            </w:r>
          </w:p>
        </w:tc>
        <w:tc>
          <w:tcPr>
            <w:tcW w:w="1056" w:type="dxa"/>
          </w:tcPr>
          <w:p w:rsidR="006A1AD2" w:rsidRPr="006A1AD2" w:rsidRDefault="006A1AD2" w:rsidP="0041694B">
            <w:pPr>
              <w:jc w:val="both"/>
              <w:rPr>
                <w:rFonts w:ascii="Times New Roman" w:hAnsi="Times New Roman" w:cs="Times New Roman"/>
                <w:sz w:val="16"/>
                <w:szCs w:val="16"/>
              </w:rPr>
            </w:pPr>
            <w:r w:rsidRPr="006A1AD2">
              <w:rPr>
                <w:rFonts w:ascii="Times New Roman" w:hAnsi="Times New Roman" w:cs="Times New Roman"/>
                <w:sz w:val="16"/>
                <w:szCs w:val="16"/>
              </w:rPr>
              <w:t>1.394.178,45</w:t>
            </w:r>
          </w:p>
        </w:tc>
      </w:tr>
      <w:tr w:rsidR="006A1AD2" w:rsidRPr="006A1AD2" w:rsidTr="005934DF">
        <w:tc>
          <w:tcPr>
            <w:tcW w:w="686" w:type="dxa"/>
          </w:tcPr>
          <w:p w:rsidR="006A1AD2" w:rsidRPr="006A1AD2" w:rsidRDefault="006A1AD2" w:rsidP="0041694B">
            <w:pPr>
              <w:rPr>
                <w:rFonts w:ascii="Times New Roman" w:hAnsi="Times New Roman" w:cs="Times New Roman"/>
                <w:sz w:val="16"/>
                <w:szCs w:val="16"/>
              </w:rPr>
            </w:pPr>
            <w:r w:rsidRPr="006A1AD2">
              <w:rPr>
                <w:rFonts w:ascii="Times New Roman" w:hAnsi="Times New Roman" w:cs="Times New Roman"/>
                <w:sz w:val="16"/>
                <w:szCs w:val="16"/>
              </w:rPr>
              <w:t>Odnos</w:t>
            </w:r>
          </w:p>
        </w:tc>
        <w:tc>
          <w:tcPr>
            <w:tcW w:w="856" w:type="dxa"/>
          </w:tcPr>
          <w:p w:rsidR="006A1AD2" w:rsidRPr="006A1AD2" w:rsidRDefault="006A1AD2" w:rsidP="0041694B">
            <w:pPr>
              <w:jc w:val="both"/>
              <w:rPr>
                <w:rFonts w:ascii="Times New Roman" w:hAnsi="Times New Roman" w:cs="Times New Roman"/>
                <w:sz w:val="16"/>
                <w:szCs w:val="16"/>
              </w:rPr>
            </w:pPr>
            <w:r>
              <w:rPr>
                <w:rFonts w:ascii="Times New Roman" w:hAnsi="Times New Roman" w:cs="Times New Roman"/>
                <w:sz w:val="16"/>
                <w:szCs w:val="16"/>
              </w:rPr>
              <w:t>25.344,54</w:t>
            </w:r>
          </w:p>
        </w:tc>
        <w:tc>
          <w:tcPr>
            <w:tcW w:w="901" w:type="dxa"/>
          </w:tcPr>
          <w:p w:rsidR="006A1AD2" w:rsidRPr="006A1AD2" w:rsidRDefault="006A1AD2" w:rsidP="0041694B">
            <w:pPr>
              <w:jc w:val="both"/>
              <w:rPr>
                <w:rFonts w:ascii="Times New Roman" w:hAnsi="Times New Roman" w:cs="Times New Roman"/>
                <w:sz w:val="16"/>
                <w:szCs w:val="16"/>
              </w:rPr>
            </w:pPr>
            <w:r>
              <w:rPr>
                <w:rFonts w:ascii="Times New Roman" w:hAnsi="Times New Roman" w:cs="Times New Roman"/>
                <w:sz w:val="16"/>
                <w:szCs w:val="16"/>
              </w:rPr>
              <w:t>22.159,41</w:t>
            </w:r>
          </w:p>
        </w:tc>
        <w:tc>
          <w:tcPr>
            <w:tcW w:w="991" w:type="dxa"/>
          </w:tcPr>
          <w:p w:rsidR="006A1AD2" w:rsidRPr="006A1AD2" w:rsidRDefault="006A1AD2" w:rsidP="0041694B">
            <w:pPr>
              <w:jc w:val="both"/>
              <w:rPr>
                <w:rFonts w:ascii="Times New Roman" w:hAnsi="Times New Roman" w:cs="Times New Roman"/>
                <w:sz w:val="16"/>
                <w:szCs w:val="16"/>
              </w:rPr>
            </w:pPr>
            <w:r>
              <w:rPr>
                <w:rFonts w:ascii="Times New Roman" w:hAnsi="Times New Roman" w:cs="Times New Roman"/>
                <w:sz w:val="16"/>
                <w:szCs w:val="16"/>
              </w:rPr>
              <w:t>398.054,59</w:t>
            </w:r>
          </w:p>
        </w:tc>
        <w:tc>
          <w:tcPr>
            <w:tcW w:w="903" w:type="dxa"/>
          </w:tcPr>
          <w:p w:rsidR="006A1AD2" w:rsidRPr="006A1AD2" w:rsidRDefault="006A1AD2" w:rsidP="0041694B">
            <w:pPr>
              <w:jc w:val="both"/>
              <w:rPr>
                <w:rFonts w:ascii="Times New Roman" w:hAnsi="Times New Roman" w:cs="Times New Roman"/>
                <w:sz w:val="16"/>
                <w:szCs w:val="16"/>
              </w:rPr>
            </w:pPr>
            <w:r>
              <w:rPr>
                <w:rFonts w:ascii="Times New Roman" w:hAnsi="Times New Roman" w:cs="Times New Roman"/>
                <w:sz w:val="16"/>
                <w:szCs w:val="16"/>
              </w:rPr>
              <w:t>12.402,24</w:t>
            </w:r>
          </w:p>
        </w:tc>
        <w:tc>
          <w:tcPr>
            <w:tcW w:w="986" w:type="dxa"/>
          </w:tcPr>
          <w:p w:rsidR="006A1AD2" w:rsidRPr="006A1AD2" w:rsidRDefault="006A1AD2" w:rsidP="0041694B">
            <w:pPr>
              <w:jc w:val="both"/>
              <w:rPr>
                <w:rFonts w:ascii="Times New Roman" w:hAnsi="Times New Roman" w:cs="Times New Roman"/>
                <w:sz w:val="16"/>
                <w:szCs w:val="16"/>
              </w:rPr>
            </w:pPr>
            <w:r>
              <w:rPr>
                <w:rFonts w:ascii="Times New Roman" w:hAnsi="Times New Roman" w:cs="Times New Roman"/>
                <w:sz w:val="16"/>
                <w:szCs w:val="16"/>
              </w:rPr>
              <w:t>735.310.54</w:t>
            </w:r>
          </w:p>
        </w:tc>
        <w:tc>
          <w:tcPr>
            <w:tcW w:w="901" w:type="dxa"/>
          </w:tcPr>
          <w:p w:rsidR="006A1AD2" w:rsidRPr="006A1AD2" w:rsidRDefault="006A1AD2" w:rsidP="0041694B">
            <w:pPr>
              <w:jc w:val="both"/>
              <w:rPr>
                <w:rFonts w:ascii="Times New Roman" w:hAnsi="Times New Roman" w:cs="Times New Roman"/>
                <w:sz w:val="16"/>
                <w:szCs w:val="16"/>
              </w:rPr>
            </w:pPr>
            <w:r>
              <w:rPr>
                <w:rFonts w:ascii="Times New Roman" w:hAnsi="Times New Roman" w:cs="Times New Roman"/>
                <w:sz w:val="16"/>
                <w:szCs w:val="16"/>
              </w:rPr>
              <w:t>39.042,00</w:t>
            </w:r>
          </w:p>
        </w:tc>
        <w:tc>
          <w:tcPr>
            <w:tcW w:w="936" w:type="dxa"/>
          </w:tcPr>
          <w:p w:rsidR="006A1AD2" w:rsidRPr="006A1AD2" w:rsidRDefault="006A1AD2" w:rsidP="0041694B">
            <w:pPr>
              <w:jc w:val="both"/>
              <w:rPr>
                <w:rFonts w:ascii="Times New Roman" w:hAnsi="Times New Roman" w:cs="Times New Roman"/>
                <w:sz w:val="16"/>
                <w:szCs w:val="16"/>
              </w:rPr>
            </w:pPr>
            <w:r>
              <w:rPr>
                <w:rFonts w:ascii="Times New Roman" w:hAnsi="Times New Roman" w:cs="Times New Roman"/>
                <w:sz w:val="16"/>
                <w:szCs w:val="16"/>
              </w:rPr>
              <w:t>125.570,18</w:t>
            </w:r>
          </w:p>
        </w:tc>
        <w:tc>
          <w:tcPr>
            <w:tcW w:w="856" w:type="dxa"/>
          </w:tcPr>
          <w:p w:rsidR="006A1AD2" w:rsidRPr="006A1AD2" w:rsidRDefault="006A1AD2" w:rsidP="0041694B">
            <w:pPr>
              <w:jc w:val="both"/>
              <w:rPr>
                <w:rFonts w:ascii="Times New Roman" w:hAnsi="Times New Roman" w:cs="Times New Roman"/>
                <w:sz w:val="16"/>
                <w:szCs w:val="16"/>
              </w:rPr>
            </w:pPr>
            <w:r>
              <w:rPr>
                <w:rFonts w:ascii="Times New Roman" w:hAnsi="Times New Roman" w:cs="Times New Roman"/>
                <w:sz w:val="16"/>
                <w:szCs w:val="16"/>
              </w:rPr>
              <w:t>95.003,82</w:t>
            </w:r>
          </w:p>
        </w:tc>
        <w:tc>
          <w:tcPr>
            <w:tcW w:w="1056" w:type="dxa"/>
          </w:tcPr>
          <w:p w:rsidR="006A1AD2" w:rsidRPr="006A1AD2" w:rsidRDefault="004F24C9" w:rsidP="0041694B">
            <w:pPr>
              <w:jc w:val="both"/>
              <w:rPr>
                <w:rFonts w:ascii="Times New Roman" w:hAnsi="Times New Roman" w:cs="Times New Roman"/>
                <w:sz w:val="16"/>
                <w:szCs w:val="16"/>
              </w:rPr>
            </w:pPr>
            <w:r>
              <w:rPr>
                <w:rFonts w:ascii="Times New Roman" w:hAnsi="Times New Roman" w:cs="Times New Roman"/>
                <w:sz w:val="16"/>
                <w:szCs w:val="16"/>
              </w:rPr>
              <w:t>1.349.998,84</w:t>
            </w:r>
          </w:p>
        </w:tc>
      </w:tr>
    </w:tbl>
    <w:p w:rsidR="00DB145C" w:rsidRPr="006A1AD2" w:rsidRDefault="00DB145C" w:rsidP="00624C16">
      <w:pPr>
        <w:spacing w:line="240" w:lineRule="auto"/>
        <w:jc w:val="both"/>
        <w:rPr>
          <w:rFonts w:ascii="Times New Roman" w:hAnsi="Times New Roman" w:cs="Times New Roman"/>
          <w:sz w:val="20"/>
          <w:szCs w:val="20"/>
        </w:rPr>
      </w:pPr>
    </w:p>
    <w:p w:rsidR="0041694B" w:rsidRDefault="008E69EE"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Tijekom višegodišnjeg razdoblja Pomorski fakultet Rijeka </w:t>
      </w:r>
      <w:r w:rsidR="00E57115">
        <w:rPr>
          <w:rFonts w:ascii="Times New Roman" w:hAnsi="Times New Roman" w:cs="Times New Roman"/>
          <w:sz w:val="24"/>
          <w:szCs w:val="24"/>
        </w:rPr>
        <w:t>značajno ulaže</w:t>
      </w:r>
      <w:r>
        <w:rPr>
          <w:rFonts w:ascii="Times New Roman" w:hAnsi="Times New Roman" w:cs="Times New Roman"/>
          <w:sz w:val="24"/>
          <w:szCs w:val="24"/>
        </w:rPr>
        <w:t xml:space="preserve"> u nabavu kapitalne opreme kao i obnovu postojećeg prostora</w:t>
      </w:r>
      <w:r w:rsidR="00E57115">
        <w:rPr>
          <w:rFonts w:ascii="Times New Roman" w:hAnsi="Times New Roman" w:cs="Times New Roman"/>
          <w:sz w:val="24"/>
          <w:szCs w:val="24"/>
        </w:rPr>
        <w:t xml:space="preserve">, a </w:t>
      </w:r>
      <w:r>
        <w:rPr>
          <w:rFonts w:ascii="Times New Roman" w:hAnsi="Times New Roman" w:cs="Times New Roman"/>
          <w:sz w:val="24"/>
          <w:szCs w:val="24"/>
        </w:rPr>
        <w:t xml:space="preserve">u svrhu osiguranja boljih uvjeta za održavanje nastave i </w:t>
      </w:r>
      <w:r w:rsidR="00E57115">
        <w:rPr>
          <w:rFonts w:ascii="Times New Roman" w:hAnsi="Times New Roman" w:cs="Times New Roman"/>
          <w:sz w:val="24"/>
          <w:szCs w:val="24"/>
        </w:rPr>
        <w:t xml:space="preserve">studentske </w:t>
      </w:r>
      <w:r>
        <w:rPr>
          <w:rFonts w:ascii="Times New Roman" w:hAnsi="Times New Roman" w:cs="Times New Roman"/>
          <w:sz w:val="24"/>
          <w:szCs w:val="24"/>
        </w:rPr>
        <w:t xml:space="preserve">prakse. U skladu s tim, sredstva iz prethodnih godina koja se najvećim dijelom odnose na sredstva </w:t>
      </w:r>
      <w:r w:rsidR="004F24C9">
        <w:rPr>
          <w:rFonts w:ascii="Times New Roman" w:hAnsi="Times New Roman" w:cs="Times New Roman"/>
          <w:sz w:val="24"/>
          <w:szCs w:val="24"/>
        </w:rPr>
        <w:t>pomoći EU</w:t>
      </w:r>
      <w:r>
        <w:rPr>
          <w:rFonts w:ascii="Times New Roman" w:hAnsi="Times New Roman" w:cs="Times New Roman"/>
          <w:sz w:val="24"/>
          <w:szCs w:val="24"/>
        </w:rPr>
        <w:t xml:space="preserve">, kao i sredstva koja Fakultet ostvari na tržištu </w:t>
      </w:r>
      <w:r w:rsidR="00E57115">
        <w:rPr>
          <w:rFonts w:ascii="Times New Roman" w:hAnsi="Times New Roman" w:cs="Times New Roman"/>
          <w:sz w:val="24"/>
          <w:szCs w:val="24"/>
        </w:rPr>
        <w:t>se troše u skladu s mogućnostima i trenutnim kapacitetima.</w:t>
      </w:r>
    </w:p>
    <w:p w:rsidR="00186B7B" w:rsidRPr="00186B7B" w:rsidRDefault="00751E84" w:rsidP="00624C1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STANJE NOVČANIH SREDSTAVA </w:t>
      </w:r>
    </w:p>
    <w:p w:rsidR="000D0A1C" w:rsidRPr="00F471E7" w:rsidRDefault="00FB5363" w:rsidP="003E6546">
      <w:pPr>
        <w:spacing w:line="240" w:lineRule="auto"/>
        <w:jc w:val="both"/>
        <w:rPr>
          <w:rFonts w:ascii="Times New Roman" w:hAnsi="Times New Roman" w:cs="Times New Roman"/>
          <w:sz w:val="24"/>
          <w:szCs w:val="24"/>
        </w:rPr>
      </w:pPr>
      <w:r>
        <w:rPr>
          <w:rFonts w:ascii="Times New Roman" w:hAnsi="Times New Roman" w:cs="Times New Roman"/>
          <w:sz w:val="24"/>
          <w:szCs w:val="24"/>
        </w:rPr>
        <w:t>St</w:t>
      </w:r>
      <w:r w:rsidR="00186B7B">
        <w:rPr>
          <w:rFonts w:ascii="Times New Roman" w:hAnsi="Times New Roman" w:cs="Times New Roman"/>
          <w:sz w:val="24"/>
          <w:szCs w:val="24"/>
        </w:rPr>
        <w:t>anje</w:t>
      </w:r>
      <w:r w:rsidR="00186B7B" w:rsidRPr="00186B7B">
        <w:rPr>
          <w:rFonts w:ascii="Times New Roman" w:hAnsi="Times New Roman" w:cs="Times New Roman"/>
          <w:sz w:val="24"/>
          <w:szCs w:val="24"/>
        </w:rPr>
        <w:t xml:space="preserve"> </w:t>
      </w:r>
      <w:r w:rsidR="00751E84">
        <w:rPr>
          <w:rFonts w:ascii="Times New Roman" w:hAnsi="Times New Roman" w:cs="Times New Roman"/>
          <w:sz w:val="24"/>
          <w:szCs w:val="24"/>
        </w:rPr>
        <w:t>novčanih sredstava na transakcijskom računu u Zagrebačkoj banci na dan</w:t>
      </w:r>
      <w:r w:rsidR="00186B7B" w:rsidRPr="00186B7B">
        <w:rPr>
          <w:rFonts w:ascii="Times New Roman" w:hAnsi="Times New Roman" w:cs="Times New Roman"/>
          <w:sz w:val="24"/>
          <w:szCs w:val="24"/>
        </w:rPr>
        <w:t xml:space="preserve"> 1. </w:t>
      </w:r>
      <w:r w:rsidR="00751E84">
        <w:rPr>
          <w:rFonts w:ascii="Times New Roman" w:hAnsi="Times New Roman" w:cs="Times New Roman"/>
          <w:sz w:val="24"/>
          <w:szCs w:val="24"/>
        </w:rPr>
        <w:t>siječnja 2023. godine</w:t>
      </w:r>
      <w:r w:rsidR="005934DF">
        <w:rPr>
          <w:rFonts w:ascii="Times New Roman" w:hAnsi="Times New Roman" w:cs="Times New Roman"/>
          <w:sz w:val="24"/>
          <w:szCs w:val="24"/>
        </w:rPr>
        <w:t xml:space="preserve"> iznosi</w:t>
      </w:r>
      <w:r w:rsidR="00D9131E">
        <w:rPr>
          <w:rFonts w:ascii="Times New Roman" w:hAnsi="Times New Roman" w:cs="Times New Roman"/>
          <w:sz w:val="24"/>
          <w:szCs w:val="24"/>
        </w:rPr>
        <w:t>lo je</w:t>
      </w:r>
      <w:r w:rsidR="005934DF">
        <w:rPr>
          <w:rFonts w:ascii="Times New Roman" w:hAnsi="Times New Roman" w:cs="Times New Roman"/>
          <w:sz w:val="24"/>
          <w:szCs w:val="24"/>
        </w:rPr>
        <w:t xml:space="preserve"> </w:t>
      </w:r>
      <w:r w:rsidR="00751E84">
        <w:rPr>
          <w:rFonts w:ascii="Times New Roman" w:hAnsi="Times New Roman" w:cs="Times New Roman"/>
          <w:sz w:val="24"/>
          <w:szCs w:val="24"/>
        </w:rPr>
        <w:t xml:space="preserve"> </w:t>
      </w:r>
      <w:r w:rsidR="005934DF">
        <w:rPr>
          <w:rFonts w:ascii="Times New Roman" w:hAnsi="Times New Roman" w:cs="Times New Roman"/>
          <w:sz w:val="24"/>
          <w:szCs w:val="24"/>
        </w:rPr>
        <w:t>1.446.948,04 EUR, a</w:t>
      </w:r>
      <w:r w:rsidR="00751E84">
        <w:rPr>
          <w:rFonts w:ascii="Times New Roman" w:hAnsi="Times New Roman" w:cs="Times New Roman"/>
          <w:sz w:val="24"/>
          <w:szCs w:val="24"/>
        </w:rPr>
        <w:t xml:space="preserve"> na dan 31. prosinca 2023. godine </w:t>
      </w:r>
      <w:r w:rsidR="005934DF">
        <w:rPr>
          <w:rFonts w:ascii="Times New Roman" w:hAnsi="Times New Roman" w:cs="Times New Roman"/>
          <w:sz w:val="24"/>
          <w:szCs w:val="24"/>
        </w:rPr>
        <w:t>iznosi</w:t>
      </w:r>
      <w:r w:rsidR="00D9131E">
        <w:rPr>
          <w:rFonts w:ascii="Times New Roman" w:hAnsi="Times New Roman" w:cs="Times New Roman"/>
          <w:sz w:val="24"/>
          <w:szCs w:val="24"/>
        </w:rPr>
        <w:t xml:space="preserve">lo je </w:t>
      </w:r>
      <w:bookmarkStart w:id="4" w:name="_GoBack"/>
      <w:bookmarkEnd w:id="4"/>
      <w:r w:rsidR="005934DF">
        <w:rPr>
          <w:rFonts w:ascii="Times New Roman" w:hAnsi="Times New Roman" w:cs="Times New Roman"/>
          <w:sz w:val="24"/>
          <w:szCs w:val="24"/>
        </w:rPr>
        <w:t xml:space="preserve">1.393.835,19 EUR.  </w:t>
      </w:r>
    </w:p>
    <w:sectPr w:rsidR="000D0A1C" w:rsidRPr="00F471E7" w:rsidSect="00536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41B5"/>
    <w:multiLevelType w:val="hybridMultilevel"/>
    <w:tmpl w:val="BB0066B0"/>
    <w:lvl w:ilvl="0" w:tplc="AAB6AF12">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260A0C9B"/>
    <w:multiLevelType w:val="hybridMultilevel"/>
    <w:tmpl w:val="7BA86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720B9D"/>
    <w:multiLevelType w:val="hybridMultilevel"/>
    <w:tmpl w:val="2B4C790A"/>
    <w:lvl w:ilvl="0" w:tplc="1E723E66">
      <w:start w:val="6"/>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41808F8"/>
    <w:multiLevelType w:val="hybridMultilevel"/>
    <w:tmpl w:val="166C9BA0"/>
    <w:lvl w:ilvl="0" w:tplc="B0AA138A">
      <w:start w:val="1"/>
      <w:numFmt w:val="decimal"/>
      <w:lvlText w:val="%1."/>
      <w:lvlJc w:val="left"/>
      <w:pPr>
        <w:ind w:left="360" w:hanging="360"/>
      </w:pPr>
      <w:rPr>
        <w:rFonts w:cs="Aria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7C6A4B6A"/>
    <w:multiLevelType w:val="hybridMultilevel"/>
    <w:tmpl w:val="D3CCDA10"/>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1C"/>
    <w:rsid w:val="00082AFE"/>
    <w:rsid w:val="000A1A2E"/>
    <w:rsid w:val="000D0A1C"/>
    <w:rsid w:val="00143083"/>
    <w:rsid w:val="00186B7B"/>
    <w:rsid w:val="00234285"/>
    <w:rsid w:val="00245B1D"/>
    <w:rsid w:val="0029735D"/>
    <w:rsid w:val="00297F7A"/>
    <w:rsid w:val="003233E3"/>
    <w:rsid w:val="00397719"/>
    <w:rsid w:val="003A103A"/>
    <w:rsid w:val="003A22DB"/>
    <w:rsid w:val="003D4D6A"/>
    <w:rsid w:val="003E6546"/>
    <w:rsid w:val="00407290"/>
    <w:rsid w:val="0041694B"/>
    <w:rsid w:val="004224EE"/>
    <w:rsid w:val="004518C9"/>
    <w:rsid w:val="00451DC2"/>
    <w:rsid w:val="00466878"/>
    <w:rsid w:val="004F24C9"/>
    <w:rsid w:val="00536E9A"/>
    <w:rsid w:val="00545DC5"/>
    <w:rsid w:val="005722A3"/>
    <w:rsid w:val="005934DF"/>
    <w:rsid w:val="005C1261"/>
    <w:rsid w:val="005C1418"/>
    <w:rsid w:val="005D01DD"/>
    <w:rsid w:val="00605080"/>
    <w:rsid w:val="00614C12"/>
    <w:rsid w:val="00624C16"/>
    <w:rsid w:val="006A1AD2"/>
    <w:rsid w:val="0072334A"/>
    <w:rsid w:val="00741060"/>
    <w:rsid w:val="00751E84"/>
    <w:rsid w:val="00752573"/>
    <w:rsid w:val="007A75B3"/>
    <w:rsid w:val="00843880"/>
    <w:rsid w:val="008616AC"/>
    <w:rsid w:val="00885BCD"/>
    <w:rsid w:val="00886D68"/>
    <w:rsid w:val="008D423E"/>
    <w:rsid w:val="008E69EE"/>
    <w:rsid w:val="0094274B"/>
    <w:rsid w:val="00975BA7"/>
    <w:rsid w:val="009D7CA0"/>
    <w:rsid w:val="009E5FF3"/>
    <w:rsid w:val="00A6013C"/>
    <w:rsid w:val="00A91BC6"/>
    <w:rsid w:val="00A963E2"/>
    <w:rsid w:val="00AC288F"/>
    <w:rsid w:val="00AE2812"/>
    <w:rsid w:val="00B645EE"/>
    <w:rsid w:val="00B7793B"/>
    <w:rsid w:val="00B83A98"/>
    <w:rsid w:val="00BF44C6"/>
    <w:rsid w:val="00C34087"/>
    <w:rsid w:val="00C44585"/>
    <w:rsid w:val="00CA12E2"/>
    <w:rsid w:val="00CE2543"/>
    <w:rsid w:val="00D019AB"/>
    <w:rsid w:val="00D47A20"/>
    <w:rsid w:val="00D9131E"/>
    <w:rsid w:val="00DB145C"/>
    <w:rsid w:val="00DD2586"/>
    <w:rsid w:val="00DF778D"/>
    <w:rsid w:val="00E34EA9"/>
    <w:rsid w:val="00E35379"/>
    <w:rsid w:val="00E5515D"/>
    <w:rsid w:val="00E57115"/>
    <w:rsid w:val="00E74D93"/>
    <w:rsid w:val="00EC7143"/>
    <w:rsid w:val="00F471E7"/>
    <w:rsid w:val="00F70550"/>
    <w:rsid w:val="00FB173D"/>
    <w:rsid w:val="00FB53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A601"/>
  <w15:chartTrackingRefBased/>
  <w15:docId w15:val="{1E9B1B47-3560-4932-BAAB-B450A5EE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843880"/>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paragraph" w:styleId="Naslov2">
    <w:name w:val="heading 2"/>
    <w:basedOn w:val="Normal"/>
    <w:next w:val="Normal"/>
    <w:link w:val="Naslov2Char"/>
    <w:qFormat/>
    <w:rsid w:val="00843880"/>
    <w:pPr>
      <w:keepNext/>
      <w:spacing w:after="0" w:line="240" w:lineRule="auto"/>
      <w:jc w:val="center"/>
      <w:outlineLvl w:val="1"/>
    </w:pPr>
    <w:rPr>
      <w:rFonts w:ascii="Arial" w:eastAsia="Times New Roman" w:hAnsi="Arial" w:cs="Times New Roman"/>
      <w:b/>
      <w:bCs/>
      <w:sz w:val="20"/>
      <w:szCs w:val="20"/>
      <w:lang w:val="x-none" w:eastAsia="x-none"/>
    </w:rPr>
  </w:style>
  <w:style w:type="paragraph" w:styleId="Naslov3">
    <w:name w:val="heading 3"/>
    <w:basedOn w:val="Normal"/>
    <w:next w:val="Normal"/>
    <w:link w:val="Naslov3Char"/>
    <w:qFormat/>
    <w:rsid w:val="00843880"/>
    <w:pPr>
      <w:keepNext/>
      <w:spacing w:after="0" w:line="240" w:lineRule="auto"/>
      <w:jc w:val="both"/>
      <w:outlineLvl w:val="2"/>
    </w:pPr>
    <w:rPr>
      <w:rFonts w:ascii="Times New Roman" w:eastAsia="Times New Roman" w:hAnsi="Times New Roman" w:cs="Times New Roman"/>
      <w:b/>
      <w:bCs/>
      <w:sz w:val="24"/>
      <w:szCs w:val="24"/>
      <w:lang w:val="x-none" w:eastAsia="x-none"/>
    </w:rPr>
  </w:style>
  <w:style w:type="paragraph" w:styleId="Naslov4">
    <w:name w:val="heading 4"/>
    <w:basedOn w:val="Normal"/>
    <w:next w:val="Normal"/>
    <w:link w:val="Naslov4Char"/>
    <w:qFormat/>
    <w:rsid w:val="00843880"/>
    <w:pPr>
      <w:keepNext/>
      <w:spacing w:after="0" w:line="240" w:lineRule="auto"/>
      <w:outlineLvl w:val="3"/>
    </w:pPr>
    <w:rPr>
      <w:rFonts w:ascii="Times New Roman" w:eastAsia="Times New Roman" w:hAnsi="Times New Roman" w:cs="Times New Roman"/>
      <w:b/>
      <w:bCs/>
      <w:sz w:val="24"/>
      <w:szCs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43880"/>
    <w:rPr>
      <w:rFonts w:ascii="Times New Roman" w:eastAsia="Times New Roman" w:hAnsi="Times New Roman" w:cs="Times New Roman"/>
      <w:b/>
      <w:bCs/>
      <w:sz w:val="24"/>
      <w:szCs w:val="24"/>
      <w:lang w:val="x-none" w:eastAsia="x-none"/>
    </w:rPr>
  </w:style>
  <w:style w:type="character" w:customStyle="1" w:styleId="Naslov2Char">
    <w:name w:val="Naslov 2 Char"/>
    <w:basedOn w:val="Zadanifontodlomka"/>
    <w:link w:val="Naslov2"/>
    <w:rsid w:val="00843880"/>
    <w:rPr>
      <w:rFonts w:ascii="Arial" w:eastAsia="Times New Roman" w:hAnsi="Arial" w:cs="Times New Roman"/>
      <w:b/>
      <w:bCs/>
      <w:sz w:val="20"/>
      <w:szCs w:val="20"/>
      <w:lang w:val="x-none" w:eastAsia="x-none"/>
    </w:rPr>
  </w:style>
  <w:style w:type="character" w:customStyle="1" w:styleId="Naslov3Char">
    <w:name w:val="Naslov 3 Char"/>
    <w:basedOn w:val="Zadanifontodlomka"/>
    <w:link w:val="Naslov3"/>
    <w:rsid w:val="00843880"/>
    <w:rPr>
      <w:rFonts w:ascii="Times New Roman" w:eastAsia="Times New Roman" w:hAnsi="Times New Roman" w:cs="Times New Roman"/>
      <w:b/>
      <w:bCs/>
      <w:sz w:val="24"/>
      <w:szCs w:val="24"/>
      <w:lang w:val="x-none" w:eastAsia="x-none"/>
    </w:rPr>
  </w:style>
  <w:style w:type="character" w:customStyle="1" w:styleId="Naslov4Char">
    <w:name w:val="Naslov 4 Char"/>
    <w:basedOn w:val="Zadanifontodlomka"/>
    <w:link w:val="Naslov4"/>
    <w:rsid w:val="00843880"/>
    <w:rPr>
      <w:rFonts w:ascii="Times New Roman" w:eastAsia="Times New Roman" w:hAnsi="Times New Roman" w:cs="Times New Roman"/>
      <w:b/>
      <w:bCs/>
      <w:sz w:val="24"/>
      <w:szCs w:val="24"/>
      <w:lang w:val="x-none" w:eastAsia="x-none"/>
    </w:rPr>
  </w:style>
  <w:style w:type="table" w:styleId="Reetkatablice">
    <w:name w:val="Table Grid"/>
    <w:basedOn w:val="Obinatablica"/>
    <w:rsid w:val="009D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843880"/>
    <w:pPr>
      <w:spacing w:after="0" w:line="240" w:lineRule="auto"/>
      <w:jc w:val="both"/>
    </w:pPr>
    <w:rPr>
      <w:rFonts w:ascii="Times New Roman" w:eastAsia="Times New Roman" w:hAnsi="Times New Roman" w:cs="Times New Roman"/>
      <w:sz w:val="24"/>
      <w:szCs w:val="24"/>
      <w:lang w:val="x-none" w:eastAsia="x-none"/>
    </w:rPr>
  </w:style>
  <w:style w:type="character" w:customStyle="1" w:styleId="TijelotekstaChar">
    <w:name w:val="Tijelo teksta Char"/>
    <w:basedOn w:val="Zadanifontodlomka"/>
    <w:link w:val="Tijeloteksta"/>
    <w:rsid w:val="00843880"/>
    <w:rPr>
      <w:rFonts w:ascii="Times New Roman" w:eastAsia="Times New Roman" w:hAnsi="Times New Roman" w:cs="Times New Roman"/>
      <w:sz w:val="24"/>
      <w:szCs w:val="24"/>
      <w:lang w:val="x-none" w:eastAsia="x-none"/>
    </w:rPr>
  </w:style>
  <w:style w:type="paragraph" w:customStyle="1" w:styleId="xl24">
    <w:name w:val="xl24"/>
    <w:basedOn w:val="Normal"/>
    <w:rsid w:val="008438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25">
    <w:name w:val="xl25"/>
    <w:basedOn w:val="Normal"/>
    <w:rsid w:val="008438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26">
    <w:name w:val="xl26"/>
    <w:basedOn w:val="Normal"/>
    <w:rsid w:val="008438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GB"/>
    </w:rPr>
  </w:style>
  <w:style w:type="paragraph" w:customStyle="1" w:styleId="xl27">
    <w:name w:val="xl27"/>
    <w:basedOn w:val="Normal"/>
    <w:rsid w:val="008438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GB"/>
    </w:rPr>
  </w:style>
  <w:style w:type="paragraph" w:customStyle="1" w:styleId="xl28">
    <w:name w:val="xl28"/>
    <w:basedOn w:val="Normal"/>
    <w:rsid w:val="008438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GB"/>
    </w:rPr>
  </w:style>
  <w:style w:type="paragraph" w:customStyle="1" w:styleId="xl29">
    <w:name w:val="xl29"/>
    <w:basedOn w:val="Normal"/>
    <w:rsid w:val="008438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438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b/>
      <w:bCs/>
      <w:sz w:val="24"/>
      <w:szCs w:val="24"/>
      <w:lang w:val="en-GB"/>
    </w:rPr>
  </w:style>
  <w:style w:type="paragraph" w:customStyle="1" w:styleId="xl31">
    <w:name w:val="xl31"/>
    <w:basedOn w:val="Normal"/>
    <w:rsid w:val="008438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GB"/>
    </w:rPr>
  </w:style>
  <w:style w:type="paragraph" w:customStyle="1" w:styleId="xl32">
    <w:name w:val="xl32"/>
    <w:basedOn w:val="Normal"/>
    <w:rsid w:val="008438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GB"/>
    </w:rPr>
  </w:style>
  <w:style w:type="paragraph" w:customStyle="1" w:styleId="xl33">
    <w:name w:val="xl33"/>
    <w:basedOn w:val="Normal"/>
    <w:rsid w:val="00843880"/>
    <w:pPr>
      <w:shd w:val="clear" w:color="auto" w:fill="FFFFFF"/>
      <w:spacing w:before="100" w:beforeAutospacing="1" w:after="100" w:afterAutospacing="1" w:line="240" w:lineRule="auto"/>
    </w:pPr>
    <w:rPr>
      <w:rFonts w:ascii="Arial" w:eastAsia="Times New Roman" w:hAnsi="Arial" w:cs="Arial"/>
      <w:b/>
      <w:bCs/>
      <w:sz w:val="24"/>
      <w:szCs w:val="24"/>
      <w:lang w:val="en-GB"/>
    </w:rPr>
  </w:style>
  <w:style w:type="paragraph" w:customStyle="1" w:styleId="xl34">
    <w:name w:val="xl34"/>
    <w:basedOn w:val="Normal"/>
    <w:rsid w:val="00843880"/>
    <w:pPr>
      <w:shd w:val="clear" w:color="auto" w:fill="FFFFFF"/>
      <w:spacing w:before="100" w:beforeAutospacing="1" w:after="100" w:afterAutospacing="1" w:line="240" w:lineRule="auto"/>
    </w:pPr>
    <w:rPr>
      <w:rFonts w:ascii="Arial" w:eastAsia="Times New Roman" w:hAnsi="Arial" w:cs="Arial"/>
      <w:b/>
      <w:bCs/>
      <w:sz w:val="24"/>
      <w:szCs w:val="24"/>
      <w:lang w:val="en-GB"/>
    </w:rPr>
  </w:style>
  <w:style w:type="paragraph" w:customStyle="1" w:styleId="xl35">
    <w:name w:val="xl35"/>
    <w:basedOn w:val="Normal"/>
    <w:rsid w:val="00843880"/>
    <w:pPr>
      <w:shd w:val="clear" w:color="auto" w:fill="FFFFFF"/>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6">
    <w:name w:val="xl36"/>
    <w:basedOn w:val="Normal"/>
    <w:rsid w:val="008438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GB"/>
    </w:rPr>
  </w:style>
  <w:style w:type="paragraph" w:customStyle="1" w:styleId="xl37">
    <w:name w:val="xl37"/>
    <w:basedOn w:val="Normal"/>
    <w:rsid w:val="008438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GB"/>
    </w:rPr>
  </w:style>
  <w:style w:type="paragraph" w:customStyle="1" w:styleId="font5">
    <w:name w:val="font5"/>
    <w:basedOn w:val="Normal"/>
    <w:rsid w:val="00843880"/>
    <w:pPr>
      <w:spacing w:before="100" w:beforeAutospacing="1" w:after="100" w:afterAutospacing="1" w:line="240" w:lineRule="auto"/>
    </w:pPr>
    <w:rPr>
      <w:rFonts w:ascii="Arial" w:eastAsia="Times New Roman" w:hAnsi="Arial" w:cs="Arial"/>
      <w:lang w:val="en-GB"/>
    </w:rPr>
  </w:style>
  <w:style w:type="paragraph" w:customStyle="1" w:styleId="xl38">
    <w:name w:val="xl38"/>
    <w:basedOn w:val="Normal"/>
    <w:rsid w:val="008438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lang w:val="en-GB"/>
    </w:rPr>
  </w:style>
  <w:style w:type="paragraph" w:customStyle="1" w:styleId="xl39">
    <w:name w:val="xl39"/>
    <w:basedOn w:val="Normal"/>
    <w:rsid w:val="0084388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b/>
      <w:bCs/>
      <w:lang w:val="en-GB"/>
    </w:rPr>
  </w:style>
  <w:style w:type="paragraph" w:customStyle="1" w:styleId="xl40">
    <w:name w:val="xl40"/>
    <w:basedOn w:val="Normal"/>
    <w:rsid w:val="0084388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b/>
      <w:bCs/>
      <w:lang w:val="en-GB"/>
    </w:rPr>
  </w:style>
  <w:style w:type="paragraph" w:customStyle="1" w:styleId="xl41">
    <w:name w:val="xl41"/>
    <w:basedOn w:val="Normal"/>
    <w:rsid w:val="0084388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lang w:val="en-GB"/>
    </w:rPr>
  </w:style>
  <w:style w:type="paragraph" w:customStyle="1" w:styleId="xl42">
    <w:name w:val="xl42"/>
    <w:basedOn w:val="Normal"/>
    <w:rsid w:val="0084388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b/>
      <w:bCs/>
      <w:lang w:val="en-GB"/>
    </w:rPr>
  </w:style>
  <w:style w:type="paragraph" w:styleId="Uvuenotijeloteksta">
    <w:name w:val="Body Text Indent"/>
    <w:basedOn w:val="Normal"/>
    <w:link w:val="UvuenotijelotekstaChar"/>
    <w:rsid w:val="00843880"/>
    <w:pPr>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UvuenotijelotekstaChar">
    <w:name w:val="Uvučeno tijelo teksta Char"/>
    <w:basedOn w:val="Zadanifontodlomka"/>
    <w:link w:val="Uvuenotijeloteksta"/>
    <w:rsid w:val="00843880"/>
    <w:rPr>
      <w:rFonts w:ascii="Times New Roman" w:eastAsia="Times New Roman" w:hAnsi="Times New Roman" w:cs="Times New Roman"/>
      <w:sz w:val="24"/>
      <w:szCs w:val="24"/>
      <w:lang w:val="x-none" w:eastAsia="x-none"/>
    </w:rPr>
  </w:style>
  <w:style w:type="paragraph" w:styleId="Podnoje">
    <w:name w:val="footer"/>
    <w:basedOn w:val="Normal"/>
    <w:link w:val="PodnojeChar"/>
    <w:rsid w:val="0084388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odnojeChar">
    <w:name w:val="Podnožje Char"/>
    <w:basedOn w:val="Zadanifontodlomka"/>
    <w:link w:val="Podnoje"/>
    <w:rsid w:val="00843880"/>
    <w:rPr>
      <w:rFonts w:ascii="Times New Roman" w:eastAsia="Times New Roman" w:hAnsi="Times New Roman" w:cs="Times New Roman"/>
      <w:sz w:val="24"/>
      <w:szCs w:val="24"/>
      <w:lang w:val="x-none" w:eastAsia="x-none"/>
    </w:rPr>
  </w:style>
  <w:style w:type="character" w:styleId="Brojstranice">
    <w:name w:val="page number"/>
    <w:basedOn w:val="Zadanifontodlomka"/>
    <w:rsid w:val="00843880"/>
  </w:style>
  <w:style w:type="paragraph" w:styleId="Zaglavlje">
    <w:name w:val="header"/>
    <w:basedOn w:val="Normal"/>
    <w:link w:val="ZaglavljeChar"/>
    <w:rsid w:val="0084388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aglavljeChar">
    <w:name w:val="Zaglavlje Char"/>
    <w:basedOn w:val="Zadanifontodlomka"/>
    <w:link w:val="Zaglavlje"/>
    <w:rsid w:val="00843880"/>
    <w:rPr>
      <w:rFonts w:ascii="Times New Roman" w:eastAsia="Times New Roman" w:hAnsi="Times New Roman" w:cs="Times New Roman"/>
      <w:sz w:val="24"/>
      <w:szCs w:val="24"/>
      <w:lang w:val="x-none" w:eastAsia="x-none"/>
    </w:rPr>
  </w:style>
  <w:style w:type="character" w:customStyle="1" w:styleId="TekstbaloniaChar">
    <w:name w:val="Tekst balončića Char"/>
    <w:basedOn w:val="Zadanifontodlomka"/>
    <w:link w:val="Tekstbalonia"/>
    <w:semiHidden/>
    <w:rsid w:val="00843880"/>
    <w:rPr>
      <w:rFonts w:ascii="Tahoma" w:eastAsia="Times New Roman" w:hAnsi="Tahoma" w:cs="Times New Roman"/>
      <w:sz w:val="16"/>
      <w:szCs w:val="16"/>
      <w:lang w:val="x-none" w:eastAsia="x-none"/>
    </w:rPr>
  </w:style>
  <w:style w:type="paragraph" w:styleId="Tekstbalonia">
    <w:name w:val="Balloon Text"/>
    <w:basedOn w:val="Normal"/>
    <w:link w:val="TekstbaloniaChar"/>
    <w:semiHidden/>
    <w:rsid w:val="00843880"/>
    <w:pPr>
      <w:spacing w:after="0" w:line="240" w:lineRule="auto"/>
    </w:pPr>
    <w:rPr>
      <w:rFonts w:ascii="Tahoma" w:eastAsia="Times New Roman" w:hAnsi="Tahoma" w:cs="Times New Roman"/>
      <w:sz w:val="16"/>
      <w:szCs w:val="16"/>
      <w:lang w:val="x-none" w:eastAsia="x-none"/>
    </w:rPr>
  </w:style>
  <w:style w:type="character" w:customStyle="1" w:styleId="TekstkomentaraChar">
    <w:name w:val="Tekst komentara Char"/>
    <w:basedOn w:val="Zadanifontodlomka"/>
    <w:link w:val="Tekstkomentara"/>
    <w:uiPriority w:val="99"/>
    <w:semiHidden/>
    <w:rsid w:val="00843880"/>
    <w:rPr>
      <w:rFonts w:ascii="Times New Roman" w:eastAsia="Times New Roman" w:hAnsi="Times New Roman" w:cs="Times New Roman"/>
      <w:sz w:val="20"/>
      <w:szCs w:val="20"/>
      <w:lang w:val="x-none" w:eastAsia="x-none"/>
    </w:rPr>
  </w:style>
  <w:style w:type="paragraph" w:styleId="Tekstkomentara">
    <w:name w:val="annotation text"/>
    <w:basedOn w:val="Normal"/>
    <w:link w:val="TekstkomentaraChar"/>
    <w:uiPriority w:val="99"/>
    <w:semiHidden/>
    <w:unhideWhenUsed/>
    <w:rsid w:val="00843880"/>
    <w:pPr>
      <w:spacing w:after="0" w:line="240" w:lineRule="auto"/>
    </w:pPr>
    <w:rPr>
      <w:rFonts w:ascii="Times New Roman" w:eastAsia="Times New Roman" w:hAnsi="Times New Roman" w:cs="Times New Roman"/>
      <w:sz w:val="20"/>
      <w:szCs w:val="20"/>
      <w:lang w:val="x-none" w:eastAsia="x-none"/>
    </w:rPr>
  </w:style>
  <w:style w:type="character" w:customStyle="1" w:styleId="PredmetkomentaraChar">
    <w:name w:val="Predmet komentara Char"/>
    <w:basedOn w:val="TekstkomentaraChar"/>
    <w:link w:val="Predmetkomentara"/>
    <w:uiPriority w:val="99"/>
    <w:semiHidden/>
    <w:rsid w:val="00843880"/>
    <w:rPr>
      <w:rFonts w:ascii="Times New Roman" w:eastAsia="Times New Roman" w:hAnsi="Times New Roman" w:cs="Times New Roman"/>
      <w:b/>
      <w:bCs/>
      <w:sz w:val="20"/>
      <w:szCs w:val="20"/>
      <w:lang w:val="x-none" w:eastAsia="x-none"/>
    </w:rPr>
  </w:style>
  <w:style w:type="paragraph" w:styleId="Predmetkomentara">
    <w:name w:val="annotation subject"/>
    <w:basedOn w:val="Tekstkomentara"/>
    <w:next w:val="Tekstkomentara"/>
    <w:link w:val="PredmetkomentaraChar"/>
    <w:uiPriority w:val="99"/>
    <w:semiHidden/>
    <w:unhideWhenUsed/>
    <w:rsid w:val="00843880"/>
    <w:rPr>
      <w:b/>
      <w:bCs/>
    </w:rPr>
  </w:style>
  <w:style w:type="paragraph" w:styleId="Odlomakpopisa">
    <w:name w:val="List Paragraph"/>
    <w:basedOn w:val="Normal"/>
    <w:link w:val="OdlomakpopisaChar"/>
    <w:uiPriority w:val="34"/>
    <w:qFormat/>
    <w:rsid w:val="00843880"/>
    <w:pPr>
      <w:ind w:left="720"/>
      <w:contextualSpacing/>
    </w:pPr>
    <w:rPr>
      <w:rFonts w:ascii="Calibri" w:eastAsia="Calibri" w:hAnsi="Calibri" w:cs="Times New Roman"/>
    </w:rPr>
  </w:style>
  <w:style w:type="character" w:customStyle="1" w:styleId="OdlomakpopisaChar">
    <w:name w:val="Odlomak popisa Char"/>
    <w:link w:val="Odlomakpopisa"/>
    <w:uiPriority w:val="34"/>
    <w:qFormat/>
    <w:locked/>
    <w:rsid w:val="008438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49971">
      <w:bodyDiv w:val="1"/>
      <w:marLeft w:val="0"/>
      <w:marRight w:val="0"/>
      <w:marTop w:val="0"/>
      <w:marBottom w:val="0"/>
      <w:divBdr>
        <w:top w:val="none" w:sz="0" w:space="0" w:color="auto"/>
        <w:left w:val="none" w:sz="0" w:space="0" w:color="auto"/>
        <w:bottom w:val="none" w:sz="0" w:space="0" w:color="auto"/>
        <w:right w:val="none" w:sz="0" w:space="0" w:color="auto"/>
      </w:divBdr>
    </w:div>
    <w:div w:id="1204053838">
      <w:bodyDiv w:val="1"/>
      <w:marLeft w:val="0"/>
      <w:marRight w:val="0"/>
      <w:marTop w:val="0"/>
      <w:marBottom w:val="0"/>
      <w:divBdr>
        <w:top w:val="none" w:sz="0" w:space="0" w:color="auto"/>
        <w:left w:val="none" w:sz="0" w:space="0" w:color="auto"/>
        <w:bottom w:val="none" w:sz="0" w:space="0" w:color="auto"/>
        <w:right w:val="none" w:sz="0" w:space="0" w:color="auto"/>
      </w:divBdr>
    </w:div>
    <w:div w:id="1292982009">
      <w:bodyDiv w:val="1"/>
      <w:marLeft w:val="0"/>
      <w:marRight w:val="0"/>
      <w:marTop w:val="0"/>
      <w:marBottom w:val="0"/>
      <w:divBdr>
        <w:top w:val="none" w:sz="0" w:space="0" w:color="auto"/>
        <w:left w:val="none" w:sz="0" w:space="0" w:color="auto"/>
        <w:bottom w:val="none" w:sz="0" w:space="0" w:color="auto"/>
        <w:right w:val="none" w:sz="0" w:space="0" w:color="auto"/>
      </w:divBdr>
    </w:div>
    <w:div w:id="1557160895">
      <w:bodyDiv w:val="1"/>
      <w:marLeft w:val="0"/>
      <w:marRight w:val="0"/>
      <w:marTop w:val="0"/>
      <w:marBottom w:val="0"/>
      <w:divBdr>
        <w:top w:val="none" w:sz="0" w:space="0" w:color="auto"/>
        <w:left w:val="none" w:sz="0" w:space="0" w:color="auto"/>
        <w:bottom w:val="none" w:sz="0" w:space="0" w:color="auto"/>
        <w:right w:val="none" w:sz="0" w:space="0" w:color="auto"/>
      </w:divBdr>
    </w:div>
    <w:div w:id="18320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b="1"/>
              <a:t>VLASTITI PRIHODI OSTVARENI NA TRŽIŠTU</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manualLayout>
          <c:layoutTarget val="inner"/>
          <c:xMode val="edge"/>
          <c:yMode val="edge"/>
          <c:x val="0.12668737836341887"/>
          <c:y val="0.10337681591157491"/>
          <c:w val="0.84836931097898483"/>
          <c:h val="0.54387952738724932"/>
        </c:manualLayout>
      </c:layout>
      <c:barChart>
        <c:barDir val="col"/>
        <c:grouping val="clustered"/>
        <c:varyColors val="0"/>
        <c:ser>
          <c:idx val="0"/>
          <c:order val="0"/>
          <c:tx>
            <c:strRef>
              <c:f>prihodi!$B$14</c:f>
              <c:strCache>
                <c:ptCount val="1"/>
                <c:pt idx="0">
                  <c:v>Izdavačka djelatnost</c:v>
                </c:pt>
              </c:strCache>
            </c:strRef>
          </c:tx>
          <c:spPr>
            <a:solidFill>
              <a:schemeClr val="accent1"/>
            </a:solidFill>
            <a:ln>
              <a:noFill/>
            </a:ln>
            <a:effectLst/>
          </c:spPr>
          <c:invertIfNegative val="0"/>
          <c:cat>
            <c:numRef>
              <c:f>prihodi!$C$13:$G$13</c:f>
              <c:numCache>
                <c:formatCode>General</c:formatCode>
                <c:ptCount val="5"/>
                <c:pt idx="0">
                  <c:v>2019</c:v>
                </c:pt>
                <c:pt idx="1">
                  <c:v>2020</c:v>
                </c:pt>
                <c:pt idx="2">
                  <c:v>2021</c:v>
                </c:pt>
                <c:pt idx="3">
                  <c:v>2022</c:v>
                </c:pt>
                <c:pt idx="4">
                  <c:v>2023</c:v>
                </c:pt>
              </c:numCache>
            </c:numRef>
          </c:cat>
          <c:val>
            <c:numRef>
              <c:f>prihodi!$C$14:$G$14</c:f>
              <c:numCache>
                <c:formatCode>#,##0</c:formatCode>
                <c:ptCount val="5"/>
                <c:pt idx="0">
                  <c:v>1171</c:v>
                </c:pt>
                <c:pt idx="1">
                  <c:v>1250</c:v>
                </c:pt>
                <c:pt idx="2">
                  <c:v>2050</c:v>
                </c:pt>
                <c:pt idx="3" formatCode="General">
                  <c:v>818</c:v>
                </c:pt>
                <c:pt idx="4" formatCode="General">
                  <c:v>568</c:v>
                </c:pt>
              </c:numCache>
            </c:numRef>
          </c:val>
          <c:extLst>
            <c:ext xmlns:c16="http://schemas.microsoft.com/office/drawing/2014/chart" uri="{C3380CC4-5D6E-409C-BE32-E72D297353CC}">
              <c16:uniqueId val="{00000000-7CC7-4805-8D71-238DC265F5AD}"/>
            </c:ext>
          </c:extLst>
        </c:ser>
        <c:ser>
          <c:idx val="1"/>
          <c:order val="1"/>
          <c:tx>
            <c:strRef>
              <c:f>prihodi!$B$15</c:f>
              <c:strCache>
                <c:ptCount val="1"/>
                <c:pt idx="0">
                  <c:v>Prihodi od usluga Centra za izobrazbu pomoraca</c:v>
                </c:pt>
              </c:strCache>
            </c:strRef>
          </c:tx>
          <c:spPr>
            <a:solidFill>
              <a:schemeClr val="accent2"/>
            </a:solidFill>
            <a:ln>
              <a:noFill/>
            </a:ln>
            <a:effectLst/>
          </c:spPr>
          <c:invertIfNegative val="0"/>
          <c:cat>
            <c:numRef>
              <c:f>prihodi!$C$13:$G$13</c:f>
              <c:numCache>
                <c:formatCode>General</c:formatCode>
                <c:ptCount val="5"/>
                <c:pt idx="0">
                  <c:v>2019</c:v>
                </c:pt>
                <c:pt idx="1">
                  <c:v>2020</c:v>
                </c:pt>
                <c:pt idx="2">
                  <c:v>2021</c:v>
                </c:pt>
                <c:pt idx="3">
                  <c:v>2022</c:v>
                </c:pt>
                <c:pt idx="4">
                  <c:v>2023</c:v>
                </c:pt>
              </c:numCache>
            </c:numRef>
          </c:cat>
          <c:val>
            <c:numRef>
              <c:f>prihodi!$C$15:$G$15</c:f>
              <c:numCache>
                <c:formatCode>#,##0</c:formatCode>
                <c:ptCount val="5"/>
                <c:pt idx="0">
                  <c:v>250229</c:v>
                </c:pt>
                <c:pt idx="1">
                  <c:v>161583</c:v>
                </c:pt>
                <c:pt idx="2">
                  <c:v>203050</c:v>
                </c:pt>
                <c:pt idx="3">
                  <c:v>196871</c:v>
                </c:pt>
                <c:pt idx="4">
                  <c:v>236012</c:v>
                </c:pt>
              </c:numCache>
            </c:numRef>
          </c:val>
          <c:extLst>
            <c:ext xmlns:c16="http://schemas.microsoft.com/office/drawing/2014/chart" uri="{C3380CC4-5D6E-409C-BE32-E72D297353CC}">
              <c16:uniqueId val="{00000001-7CC7-4805-8D71-238DC265F5AD}"/>
            </c:ext>
          </c:extLst>
        </c:ser>
        <c:ser>
          <c:idx val="2"/>
          <c:order val="2"/>
          <c:tx>
            <c:strRef>
              <c:f>prihodi!$B$16</c:f>
              <c:strCache>
                <c:ptCount val="1"/>
                <c:pt idx="0">
                  <c:v>Prihodi od posebnog programa obrazovanja</c:v>
                </c:pt>
              </c:strCache>
            </c:strRef>
          </c:tx>
          <c:spPr>
            <a:solidFill>
              <a:schemeClr val="accent3"/>
            </a:solidFill>
            <a:ln>
              <a:noFill/>
            </a:ln>
            <a:effectLst/>
          </c:spPr>
          <c:invertIfNegative val="0"/>
          <c:cat>
            <c:numRef>
              <c:f>prihodi!$C$13:$G$13</c:f>
              <c:numCache>
                <c:formatCode>General</c:formatCode>
                <c:ptCount val="5"/>
                <c:pt idx="0">
                  <c:v>2019</c:v>
                </c:pt>
                <c:pt idx="1">
                  <c:v>2020</c:v>
                </c:pt>
                <c:pt idx="2">
                  <c:v>2021</c:v>
                </c:pt>
                <c:pt idx="3">
                  <c:v>2022</c:v>
                </c:pt>
                <c:pt idx="4">
                  <c:v>2023</c:v>
                </c:pt>
              </c:numCache>
            </c:numRef>
          </c:cat>
          <c:val>
            <c:numRef>
              <c:f>prihodi!$C$16:$G$16</c:f>
              <c:numCache>
                <c:formatCode>#,##0</c:formatCode>
                <c:ptCount val="5"/>
                <c:pt idx="0">
                  <c:v>175857</c:v>
                </c:pt>
                <c:pt idx="1">
                  <c:v>109361</c:v>
                </c:pt>
                <c:pt idx="2">
                  <c:v>153295</c:v>
                </c:pt>
                <c:pt idx="3">
                  <c:v>118867</c:v>
                </c:pt>
                <c:pt idx="4">
                  <c:v>201522</c:v>
                </c:pt>
              </c:numCache>
            </c:numRef>
          </c:val>
          <c:extLst>
            <c:ext xmlns:c16="http://schemas.microsoft.com/office/drawing/2014/chart" uri="{C3380CC4-5D6E-409C-BE32-E72D297353CC}">
              <c16:uniqueId val="{00000002-7CC7-4805-8D71-238DC265F5AD}"/>
            </c:ext>
          </c:extLst>
        </c:ser>
        <c:ser>
          <c:idx val="3"/>
          <c:order val="3"/>
          <c:tx>
            <c:strRef>
              <c:f>prihodi!$B$17</c:f>
              <c:strCache>
                <c:ptCount val="1"/>
                <c:pt idx="0">
                  <c:v>Prihodi od stručnih projekata</c:v>
                </c:pt>
              </c:strCache>
            </c:strRef>
          </c:tx>
          <c:spPr>
            <a:solidFill>
              <a:schemeClr val="accent4"/>
            </a:solidFill>
            <a:ln>
              <a:noFill/>
            </a:ln>
            <a:effectLst/>
          </c:spPr>
          <c:invertIfNegative val="0"/>
          <c:cat>
            <c:numRef>
              <c:f>prihodi!$C$13:$G$13</c:f>
              <c:numCache>
                <c:formatCode>General</c:formatCode>
                <c:ptCount val="5"/>
                <c:pt idx="0">
                  <c:v>2019</c:v>
                </c:pt>
                <c:pt idx="1">
                  <c:v>2020</c:v>
                </c:pt>
                <c:pt idx="2">
                  <c:v>2021</c:v>
                </c:pt>
                <c:pt idx="3">
                  <c:v>2022</c:v>
                </c:pt>
                <c:pt idx="4">
                  <c:v>2023</c:v>
                </c:pt>
              </c:numCache>
            </c:numRef>
          </c:cat>
          <c:val>
            <c:numRef>
              <c:f>prihodi!$C$17:$G$17</c:f>
              <c:numCache>
                <c:formatCode>#,##0</c:formatCode>
                <c:ptCount val="5"/>
                <c:pt idx="0">
                  <c:v>438040</c:v>
                </c:pt>
                <c:pt idx="1">
                  <c:v>259466</c:v>
                </c:pt>
                <c:pt idx="2">
                  <c:v>371965</c:v>
                </c:pt>
                <c:pt idx="3">
                  <c:v>373688</c:v>
                </c:pt>
                <c:pt idx="4">
                  <c:v>412436</c:v>
                </c:pt>
              </c:numCache>
            </c:numRef>
          </c:val>
          <c:extLst>
            <c:ext xmlns:c16="http://schemas.microsoft.com/office/drawing/2014/chart" uri="{C3380CC4-5D6E-409C-BE32-E72D297353CC}">
              <c16:uniqueId val="{00000003-7CC7-4805-8D71-238DC265F5AD}"/>
            </c:ext>
          </c:extLst>
        </c:ser>
        <c:ser>
          <c:idx val="4"/>
          <c:order val="4"/>
          <c:tx>
            <c:strRef>
              <c:f>prihodi!$B$18</c:f>
              <c:strCache>
                <c:ptCount val="1"/>
                <c:pt idx="0">
                  <c:v>Prihodi od sponzorstva</c:v>
                </c:pt>
              </c:strCache>
            </c:strRef>
          </c:tx>
          <c:spPr>
            <a:solidFill>
              <a:schemeClr val="accent5"/>
            </a:solidFill>
            <a:ln>
              <a:noFill/>
            </a:ln>
            <a:effectLst/>
          </c:spPr>
          <c:invertIfNegative val="0"/>
          <c:cat>
            <c:numRef>
              <c:f>prihodi!$C$13:$G$13</c:f>
              <c:numCache>
                <c:formatCode>General</c:formatCode>
                <c:ptCount val="5"/>
                <c:pt idx="0">
                  <c:v>2019</c:v>
                </c:pt>
                <c:pt idx="1">
                  <c:v>2020</c:v>
                </c:pt>
                <c:pt idx="2">
                  <c:v>2021</c:v>
                </c:pt>
                <c:pt idx="3">
                  <c:v>2022</c:v>
                </c:pt>
                <c:pt idx="4">
                  <c:v>2023</c:v>
                </c:pt>
              </c:numCache>
            </c:numRef>
          </c:cat>
          <c:val>
            <c:numRef>
              <c:f>prihodi!$C$18:$G$18</c:f>
              <c:numCache>
                <c:formatCode>General</c:formatCode>
                <c:ptCount val="5"/>
                <c:pt idx="0" formatCode="#,##0">
                  <c:v>35437</c:v>
                </c:pt>
                <c:pt idx="1">
                  <c:v>0</c:v>
                </c:pt>
                <c:pt idx="2">
                  <c:v>0</c:v>
                </c:pt>
                <c:pt idx="3" formatCode="#,##0">
                  <c:v>18569</c:v>
                </c:pt>
                <c:pt idx="4" formatCode="#,##0">
                  <c:v>2000</c:v>
                </c:pt>
              </c:numCache>
            </c:numRef>
          </c:val>
          <c:extLst>
            <c:ext xmlns:c16="http://schemas.microsoft.com/office/drawing/2014/chart" uri="{C3380CC4-5D6E-409C-BE32-E72D297353CC}">
              <c16:uniqueId val="{00000004-7CC7-4805-8D71-238DC265F5AD}"/>
            </c:ext>
          </c:extLst>
        </c:ser>
        <c:ser>
          <c:idx val="5"/>
          <c:order val="5"/>
          <c:tx>
            <c:strRef>
              <c:f>prihodi!$B$19</c:f>
              <c:strCache>
                <c:ptCount val="1"/>
                <c:pt idx="0">
                  <c:v>Ostali vlastiti prihodi </c:v>
                </c:pt>
              </c:strCache>
            </c:strRef>
          </c:tx>
          <c:spPr>
            <a:solidFill>
              <a:schemeClr val="accent6"/>
            </a:solidFill>
            <a:ln>
              <a:noFill/>
            </a:ln>
            <a:effectLst/>
          </c:spPr>
          <c:invertIfNegative val="0"/>
          <c:cat>
            <c:numRef>
              <c:f>prihodi!$C$13:$G$13</c:f>
              <c:numCache>
                <c:formatCode>General</c:formatCode>
                <c:ptCount val="5"/>
                <c:pt idx="0">
                  <c:v>2019</c:v>
                </c:pt>
                <c:pt idx="1">
                  <c:v>2020</c:v>
                </c:pt>
                <c:pt idx="2">
                  <c:v>2021</c:v>
                </c:pt>
                <c:pt idx="3">
                  <c:v>2022</c:v>
                </c:pt>
                <c:pt idx="4">
                  <c:v>2023</c:v>
                </c:pt>
              </c:numCache>
            </c:numRef>
          </c:cat>
          <c:val>
            <c:numRef>
              <c:f>prihodi!$C$19:$G$19</c:f>
              <c:numCache>
                <c:formatCode>#,##0</c:formatCode>
                <c:ptCount val="5"/>
                <c:pt idx="0">
                  <c:v>32731</c:v>
                </c:pt>
                <c:pt idx="1">
                  <c:v>69126</c:v>
                </c:pt>
                <c:pt idx="2">
                  <c:v>140666</c:v>
                </c:pt>
                <c:pt idx="3">
                  <c:v>15518</c:v>
                </c:pt>
                <c:pt idx="4">
                  <c:v>8899</c:v>
                </c:pt>
              </c:numCache>
            </c:numRef>
          </c:val>
          <c:extLst>
            <c:ext xmlns:c16="http://schemas.microsoft.com/office/drawing/2014/chart" uri="{C3380CC4-5D6E-409C-BE32-E72D297353CC}">
              <c16:uniqueId val="{00000005-7CC7-4805-8D71-238DC265F5AD}"/>
            </c:ext>
          </c:extLst>
        </c:ser>
        <c:ser>
          <c:idx val="6"/>
          <c:order val="6"/>
          <c:tx>
            <c:strRef>
              <c:f>prihodi!$B$20</c:f>
              <c:strCache>
                <c:ptCount val="1"/>
                <c:pt idx="0">
                  <c:v>Prihodi od najamnine</c:v>
                </c:pt>
              </c:strCache>
            </c:strRef>
          </c:tx>
          <c:spPr>
            <a:solidFill>
              <a:schemeClr val="accent1">
                <a:lumMod val="60000"/>
              </a:schemeClr>
            </a:solidFill>
            <a:ln>
              <a:noFill/>
            </a:ln>
            <a:effectLst/>
          </c:spPr>
          <c:invertIfNegative val="0"/>
          <c:cat>
            <c:numRef>
              <c:f>prihodi!$C$13:$G$13</c:f>
              <c:numCache>
                <c:formatCode>General</c:formatCode>
                <c:ptCount val="5"/>
                <c:pt idx="0">
                  <c:v>2019</c:v>
                </c:pt>
                <c:pt idx="1">
                  <c:v>2020</c:v>
                </c:pt>
                <c:pt idx="2">
                  <c:v>2021</c:v>
                </c:pt>
                <c:pt idx="3">
                  <c:v>2022</c:v>
                </c:pt>
                <c:pt idx="4">
                  <c:v>2023</c:v>
                </c:pt>
              </c:numCache>
            </c:numRef>
          </c:cat>
          <c:val>
            <c:numRef>
              <c:f>prihodi!$C$20:$G$20</c:f>
              <c:numCache>
                <c:formatCode>#,##0</c:formatCode>
                <c:ptCount val="5"/>
                <c:pt idx="0">
                  <c:v>10517</c:v>
                </c:pt>
                <c:pt idx="1">
                  <c:v>11104</c:v>
                </c:pt>
                <c:pt idx="2">
                  <c:v>10804</c:v>
                </c:pt>
                <c:pt idx="3">
                  <c:v>12532</c:v>
                </c:pt>
                <c:pt idx="4">
                  <c:v>14262</c:v>
                </c:pt>
              </c:numCache>
            </c:numRef>
          </c:val>
          <c:extLst>
            <c:ext xmlns:c16="http://schemas.microsoft.com/office/drawing/2014/chart" uri="{C3380CC4-5D6E-409C-BE32-E72D297353CC}">
              <c16:uniqueId val="{00000006-7CC7-4805-8D71-238DC265F5AD}"/>
            </c:ext>
          </c:extLst>
        </c:ser>
        <c:ser>
          <c:idx val="7"/>
          <c:order val="7"/>
          <c:tx>
            <c:strRef>
              <c:f>prihodi!$B$21</c:f>
              <c:strCache>
                <c:ptCount val="1"/>
                <c:pt idx="0">
                  <c:v>Prihodi od refundacija režija (Studentski centar)</c:v>
                </c:pt>
              </c:strCache>
            </c:strRef>
          </c:tx>
          <c:spPr>
            <a:solidFill>
              <a:schemeClr val="accent2">
                <a:lumMod val="60000"/>
              </a:schemeClr>
            </a:solidFill>
            <a:ln>
              <a:noFill/>
            </a:ln>
            <a:effectLst/>
          </c:spPr>
          <c:invertIfNegative val="0"/>
          <c:cat>
            <c:numRef>
              <c:f>prihodi!$C$13:$G$13</c:f>
              <c:numCache>
                <c:formatCode>General</c:formatCode>
                <c:ptCount val="5"/>
                <c:pt idx="0">
                  <c:v>2019</c:v>
                </c:pt>
                <c:pt idx="1">
                  <c:v>2020</c:v>
                </c:pt>
                <c:pt idx="2">
                  <c:v>2021</c:v>
                </c:pt>
                <c:pt idx="3">
                  <c:v>2022</c:v>
                </c:pt>
                <c:pt idx="4">
                  <c:v>2023</c:v>
                </c:pt>
              </c:numCache>
            </c:numRef>
          </c:cat>
          <c:val>
            <c:numRef>
              <c:f>prihodi!$C$21:$G$21</c:f>
              <c:numCache>
                <c:formatCode>#,##0</c:formatCode>
                <c:ptCount val="5"/>
                <c:pt idx="0">
                  <c:v>6236</c:v>
                </c:pt>
                <c:pt idx="1">
                  <c:v>3988</c:v>
                </c:pt>
                <c:pt idx="2">
                  <c:v>6217</c:v>
                </c:pt>
                <c:pt idx="3">
                  <c:v>7426</c:v>
                </c:pt>
                <c:pt idx="4">
                  <c:v>10597</c:v>
                </c:pt>
              </c:numCache>
            </c:numRef>
          </c:val>
          <c:extLst>
            <c:ext xmlns:c16="http://schemas.microsoft.com/office/drawing/2014/chart" uri="{C3380CC4-5D6E-409C-BE32-E72D297353CC}">
              <c16:uniqueId val="{00000007-7CC7-4805-8D71-238DC265F5AD}"/>
            </c:ext>
          </c:extLst>
        </c:ser>
        <c:dLbls>
          <c:showLegendKey val="0"/>
          <c:showVal val="0"/>
          <c:showCatName val="0"/>
          <c:showSerName val="0"/>
          <c:showPercent val="0"/>
          <c:showBubbleSize val="0"/>
        </c:dLbls>
        <c:gapWidth val="219"/>
        <c:overlap val="-27"/>
        <c:axId val="543230367"/>
        <c:axId val="522649183"/>
      </c:barChart>
      <c:lineChart>
        <c:grouping val="standard"/>
        <c:varyColors val="0"/>
        <c:dLbls>
          <c:showLegendKey val="0"/>
          <c:showVal val="0"/>
          <c:showCatName val="0"/>
          <c:showSerName val="0"/>
          <c:showPercent val="0"/>
          <c:showBubbleSize val="0"/>
        </c:dLbls>
        <c:marker val="1"/>
        <c:smooth val="0"/>
        <c:axId val="543230367"/>
        <c:axId val="522649183"/>
        <c:extLst>
          <c:ext xmlns:c15="http://schemas.microsoft.com/office/drawing/2012/chart" uri="{02D57815-91ED-43cb-92C2-25804820EDAC}">
            <c15:filteredLineSeries>
              <c15:ser>
                <c:idx val="8"/>
                <c:order val="8"/>
                <c:tx>
                  <c:strRef>
                    <c:extLst>
                      <c:ext uri="{02D57815-91ED-43cb-92C2-25804820EDAC}">
                        <c15:formulaRef>
                          <c15:sqref>prihodi!$B$22</c15:sqref>
                        </c15:formulaRef>
                      </c:ext>
                    </c:extLst>
                    <c:strCache>
                      <c:ptCount val="1"/>
                      <c:pt idx="0">
                        <c:v>VLASTITI PRIHODI</c:v>
                      </c:pt>
                    </c:strCache>
                  </c:strRef>
                </c:tx>
                <c:spPr>
                  <a:ln w="28575" cap="rnd">
                    <a:solidFill>
                      <a:schemeClr val="accent3">
                        <a:lumMod val="60000"/>
                      </a:schemeClr>
                    </a:solidFill>
                    <a:round/>
                  </a:ln>
                  <a:effectLst/>
                </c:spPr>
                <c:marker>
                  <c:symbol val="none"/>
                </c:marker>
                <c:cat>
                  <c:numRef>
                    <c:extLst>
                      <c:ext uri="{02D57815-91ED-43cb-92C2-25804820EDAC}">
                        <c15:formulaRef>
                          <c15:sqref>prihodi!$C$13:$G$13</c15:sqref>
                        </c15:formulaRef>
                      </c:ext>
                    </c:extLst>
                    <c:numCache>
                      <c:formatCode>General</c:formatCode>
                      <c:ptCount val="5"/>
                      <c:pt idx="0">
                        <c:v>2019</c:v>
                      </c:pt>
                      <c:pt idx="1">
                        <c:v>2020</c:v>
                      </c:pt>
                      <c:pt idx="2">
                        <c:v>2021</c:v>
                      </c:pt>
                      <c:pt idx="3">
                        <c:v>2022</c:v>
                      </c:pt>
                      <c:pt idx="4">
                        <c:v>2023</c:v>
                      </c:pt>
                    </c:numCache>
                  </c:numRef>
                </c:cat>
                <c:val>
                  <c:numRef>
                    <c:extLst>
                      <c:ext uri="{02D57815-91ED-43cb-92C2-25804820EDAC}">
                        <c15:formulaRef>
                          <c15:sqref>prihodi!$C$22:$G$22</c15:sqref>
                        </c15:formulaRef>
                      </c:ext>
                    </c:extLst>
                    <c:numCache>
                      <c:formatCode>#,##0</c:formatCode>
                      <c:ptCount val="5"/>
                      <c:pt idx="0">
                        <c:v>950218</c:v>
                      </c:pt>
                      <c:pt idx="1">
                        <c:v>615878</c:v>
                      </c:pt>
                      <c:pt idx="2">
                        <c:v>888047</c:v>
                      </c:pt>
                      <c:pt idx="3">
                        <c:v>744289</c:v>
                      </c:pt>
                      <c:pt idx="4">
                        <c:v>886296</c:v>
                      </c:pt>
                    </c:numCache>
                  </c:numRef>
                </c:val>
                <c:smooth val="0"/>
                <c:extLst>
                  <c:ext xmlns:c16="http://schemas.microsoft.com/office/drawing/2014/chart" uri="{C3380CC4-5D6E-409C-BE32-E72D297353CC}">
                    <c16:uniqueId val="{00000008-7CC7-4805-8D71-238DC265F5AD}"/>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prihodi!$B$23</c15:sqref>
                        </c15:formulaRef>
                      </c:ext>
                    </c:extLst>
                    <c:strCache>
                      <c:ptCount val="1"/>
                      <c:pt idx="0">
                        <c:v>Pomoći od međunarodnih organizacija te institucija i tijela EU</c:v>
                      </c:pt>
                    </c:strCache>
                  </c:strRef>
                </c:tx>
                <c:spPr>
                  <a:ln w="28575" cap="rnd">
                    <a:solidFill>
                      <a:schemeClr val="accent4">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prihodi!$C$13:$G$13</c15:sqref>
                        </c15:formulaRef>
                      </c:ext>
                    </c:extLst>
                    <c:numCache>
                      <c:formatCode>General</c:formatCode>
                      <c:ptCount val="5"/>
                      <c:pt idx="0">
                        <c:v>2019</c:v>
                      </c:pt>
                      <c:pt idx="1">
                        <c:v>2020</c:v>
                      </c:pt>
                      <c:pt idx="2">
                        <c:v>2021</c:v>
                      </c:pt>
                      <c:pt idx="3">
                        <c:v>2022</c:v>
                      </c:pt>
                      <c:pt idx="4">
                        <c:v>2023</c:v>
                      </c:pt>
                    </c:numCache>
                  </c:numRef>
                </c:cat>
                <c:val>
                  <c:numRef>
                    <c:extLst xmlns:c15="http://schemas.microsoft.com/office/drawing/2012/chart">
                      <c:ext xmlns:c15="http://schemas.microsoft.com/office/drawing/2012/chart" uri="{02D57815-91ED-43cb-92C2-25804820EDAC}">
                        <c15:formulaRef>
                          <c15:sqref>prihodi!$C$23:$G$23</c15:sqref>
                        </c15:formulaRef>
                      </c:ext>
                    </c:extLst>
                    <c:numCache>
                      <c:formatCode>#,##0</c:formatCode>
                      <c:ptCount val="5"/>
                      <c:pt idx="0">
                        <c:v>1081962</c:v>
                      </c:pt>
                      <c:pt idx="1">
                        <c:v>1198790</c:v>
                      </c:pt>
                      <c:pt idx="2">
                        <c:v>8358913</c:v>
                      </c:pt>
                      <c:pt idx="3">
                        <c:v>11632839</c:v>
                      </c:pt>
                      <c:pt idx="4">
                        <c:v>17571249</c:v>
                      </c:pt>
                    </c:numCache>
                  </c:numRef>
                </c:val>
                <c:smooth val="0"/>
                <c:extLst xmlns:c15="http://schemas.microsoft.com/office/drawing/2012/chart">
                  <c:ext xmlns:c16="http://schemas.microsoft.com/office/drawing/2014/chart" uri="{C3380CC4-5D6E-409C-BE32-E72D297353CC}">
                    <c16:uniqueId val="{00000009-7CC7-4805-8D71-238DC265F5AD}"/>
                  </c:ext>
                </c:extLst>
              </c15:ser>
            </c15:filteredLineSeries>
          </c:ext>
        </c:extLst>
      </c:lineChart>
      <c:catAx>
        <c:axId val="543230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22649183"/>
        <c:crosses val="autoZero"/>
        <c:auto val="1"/>
        <c:lblAlgn val="ctr"/>
        <c:lblOffset val="100"/>
        <c:noMultiLvlLbl val="0"/>
      </c:catAx>
      <c:valAx>
        <c:axId val="5226491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43230367"/>
        <c:crosses val="autoZero"/>
        <c:crossBetween val="between"/>
      </c:valAx>
      <c:spPr>
        <a:noFill/>
        <a:ln>
          <a:noFill/>
        </a:ln>
        <a:effectLst/>
      </c:spPr>
    </c:plotArea>
    <c:legend>
      <c:legendPos val="b"/>
      <c:layout>
        <c:manualLayout>
          <c:xMode val="edge"/>
          <c:yMode val="edge"/>
          <c:x val="2.9432288075944085E-2"/>
          <c:y val="0.72529843453412002"/>
          <c:w val="0.94331767230753616"/>
          <c:h val="0.274701676859964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b="1"/>
              <a:t>ŠKOLARINE</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prihodi!$B$3</c:f>
              <c:strCache>
                <c:ptCount val="1"/>
                <c:pt idx="0">
                  <c:v>Školarine redovni studij</c:v>
                </c:pt>
              </c:strCache>
            </c:strRef>
          </c:tx>
          <c:spPr>
            <a:solidFill>
              <a:schemeClr val="accent1"/>
            </a:solidFill>
            <a:ln>
              <a:noFill/>
            </a:ln>
            <a:effectLst/>
          </c:spPr>
          <c:invertIfNegative val="0"/>
          <c:cat>
            <c:numRef>
              <c:f>prihodi!$C$2:$G$2</c:f>
              <c:numCache>
                <c:formatCode>General</c:formatCode>
                <c:ptCount val="5"/>
                <c:pt idx="0">
                  <c:v>2019</c:v>
                </c:pt>
                <c:pt idx="1">
                  <c:v>2020</c:v>
                </c:pt>
                <c:pt idx="2">
                  <c:v>2021</c:v>
                </c:pt>
                <c:pt idx="3">
                  <c:v>2022</c:v>
                </c:pt>
                <c:pt idx="4">
                  <c:v>2023</c:v>
                </c:pt>
              </c:numCache>
            </c:numRef>
          </c:cat>
          <c:val>
            <c:numRef>
              <c:f>prihodi!$C$3:$G$3</c:f>
              <c:numCache>
                <c:formatCode>#,##0</c:formatCode>
                <c:ptCount val="5"/>
                <c:pt idx="0">
                  <c:v>313130.53288207576</c:v>
                </c:pt>
                <c:pt idx="1">
                  <c:v>268757.44906762225</c:v>
                </c:pt>
                <c:pt idx="2">
                  <c:v>248171.21242285485</c:v>
                </c:pt>
                <c:pt idx="3">
                  <c:v>251125.62213816444</c:v>
                </c:pt>
                <c:pt idx="4">
                  <c:v>223868</c:v>
                </c:pt>
              </c:numCache>
            </c:numRef>
          </c:val>
          <c:extLst>
            <c:ext xmlns:c16="http://schemas.microsoft.com/office/drawing/2014/chart" uri="{C3380CC4-5D6E-409C-BE32-E72D297353CC}">
              <c16:uniqueId val="{00000000-F417-4222-AD29-DEE3412AFBBB}"/>
            </c:ext>
          </c:extLst>
        </c:ser>
        <c:ser>
          <c:idx val="1"/>
          <c:order val="1"/>
          <c:tx>
            <c:strRef>
              <c:f>prihodi!$B$4</c:f>
              <c:strCache>
                <c:ptCount val="1"/>
                <c:pt idx="0">
                  <c:v>Školarine izvanredni studij</c:v>
                </c:pt>
              </c:strCache>
            </c:strRef>
          </c:tx>
          <c:spPr>
            <a:solidFill>
              <a:schemeClr val="accent2"/>
            </a:solidFill>
            <a:ln>
              <a:noFill/>
            </a:ln>
            <a:effectLst/>
          </c:spPr>
          <c:invertIfNegative val="0"/>
          <c:cat>
            <c:numRef>
              <c:f>prihodi!$C$2:$G$2</c:f>
              <c:numCache>
                <c:formatCode>General</c:formatCode>
                <c:ptCount val="5"/>
                <c:pt idx="0">
                  <c:v>2019</c:v>
                </c:pt>
                <c:pt idx="1">
                  <c:v>2020</c:v>
                </c:pt>
                <c:pt idx="2">
                  <c:v>2021</c:v>
                </c:pt>
                <c:pt idx="3">
                  <c:v>2022</c:v>
                </c:pt>
                <c:pt idx="4">
                  <c:v>2023</c:v>
                </c:pt>
              </c:numCache>
            </c:numRef>
          </c:cat>
          <c:val>
            <c:numRef>
              <c:f>prihodi!$C$4:$G$4</c:f>
              <c:numCache>
                <c:formatCode>#,##0</c:formatCode>
                <c:ptCount val="5"/>
                <c:pt idx="0">
                  <c:v>565938.41661689559</c:v>
                </c:pt>
                <c:pt idx="1">
                  <c:v>565723.80383568909</c:v>
                </c:pt>
                <c:pt idx="2">
                  <c:v>505103.19198354235</c:v>
                </c:pt>
                <c:pt idx="3">
                  <c:v>477483.97372088389</c:v>
                </c:pt>
                <c:pt idx="4">
                  <c:v>360440</c:v>
                </c:pt>
              </c:numCache>
            </c:numRef>
          </c:val>
          <c:extLst>
            <c:ext xmlns:c16="http://schemas.microsoft.com/office/drawing/2014/chart" uri="{C3380CC4-5D6E-409C-BE32-E72D297353CC}">
              <c16:uniqueId val="{00000001-F417-4222-AD29-DEE3412AFBBB}"/>
            </c:ext>
          </c:extLst>
        </c:ser>
        <c:ser>
          <c:idx val="2"/>
          <c:order val="2"/>
          <c:tx>
            <c:strRef>
              <c:f>prihodi!$B$5</c:f>
              <c:strCache>
                <c:ptCount val="1"/>
                <c:pt idx="0">
                  <c:v>Školarine razlikovni studij</c:v>
                </c:pt>
              </c:strCache>
            </c:strRef>
          </c:tx>
          <c:spPr>
            <a:solidFill>
              <a:schemeClr val="accent3"/>
            </a:solidFill>
            <a:ln>
              <a:noFill/>
            </a:ln>
            <a:effectLst/>
          </c:spPr>
          <c:invertIfNegative val="0"/>
          <c:cat>
            <c:numRef>
              <c:f>prihodi!$C$2:$G$2</c:f>
              <c:numCache>
                <c:formatCode>General</c:formatCode>
                <c:ptCount val="5"/>
                <c:pt idx="0">
                  <c:v>2019</c:v>
                </c:pt>
                <c:pt idx="1">
                  <c:v>2020</c:v>
                </c:pt>
                <c:pt idx="2">
                  <c:v>2021</c:v>
                </c:pt>
                <c:pt idx="3">
                  <c:v>2022</c:v>
                </c:pt>
                <c:pt idx="4">
                  <c:v>2023</c:v>
                </c:pt>
              </c:numCache>
            </c:numRef>
          </c:cat>
          <c:val>
            <c:numRef>
              <c:f>prihodi!$C$5:$G$5</c:f>
              <c:numCache>
                <c:formatCode>#,##0</c:formatCode>
                <c:ptCount val="5"/>
                <c:pt idx="0">
                  <c:v>2200.6768863229145</c:v>
                </c:pt>
                <c:pt idx="1">
                  <c:v>4938.3502554914057</c:v>
                </c:pt>
                <c:pt idx="2">
                  <c:v>5298.1617891034575</c:v>
                </c:pt>
                <c:pt idx="3">
                  <c:v>3488.6190191784458</c:v>
                </c:pt>
                <c:pt idx="4">
                  <c:v>2510</c:v>
                </c:pt>
              </c:numCache>
            </c:numRef>
          </c:val>
          <c:extLst>
            <c:ext xmlns:c16="http://schemas.microsoft.com/office/drawing/2014/chart" uri="{C3380CC4-5D6E-409C-BE32-E72D297353CC}">
              <c16:uniqueId val="{00000002-F417-4222-AD29-DEE3412AFBBB}"/>
            </c:ext>
          </c:extLst>
        </c:ser>
        <c:ser>
          <c:idx val="3"/>
          <c:order val="3"/>
          <c:tx>
            <c:strRef>
              <c:f>prihodi!$B$6</c:f>
              <c:strCache>
                <c:ptCount val="1"/>
                <c:pt idx="0">
                  <c:v>Školarine doktorski studij</c:v>
                </c:pt>
              </c:strCache>
            </c:strRef>
          </c:tx>
          <c:spPr>
            <a:solidFill>
              <a:schemeClr val="accent4"/>
            </a:solidFill>
            <a:ln>
              <a:noFill/>
            </a:ln>
            <a:effectLst/>
          </c:spPr>
          <c:invertIfNegative val="0"/>
          <c:cat>
            <c:numRef>
              <c:f>prihodi!$C$2:$G$2</c:f>
              <c:numCache>
                <c:formatCode>General</c:formatCode>
                <c:ptCount val="5"/>
                <c:pt idx="0">
                  <c:v>2019</c:v>
                </c:pt>
                <c:pt idx="1">
                  <c:v>2020</c:v>
                </c:pt>
                <c:pt idx="2">
                  <c:v>2021</c:v>
                </c:pt>
                <c:pt idx="3">
                  <c:v>2022</c:v>
                </c:pt>
                <c:pt idx="4">
                  <c:v>2023</c:v>
                </c:pt>
              </c:numCache>
            </c:numRef>
          </c:cat>
          <c:val>
            <c:numRef>
              <c:f>prihodi!$C$6:$G$6</c:f>
              <c:numCache>
                <c:formatCode>#,##0</c:formatCode>
                <c:ptCount val="5"/>
                <c:pt idx="0">
                  <c:v>67117.658769659567</c:v>
                </c:pt>
                <c:pt idx="1">
                  <c:v>62921.892627247988</c:v>
                </c:pt>
                <c:pt idx="2">
                  <c:v>53155.48477005773</c:v>
                </c:pt>
                <c:pt idx="3">
                  <c:v>61384.298891764549</c:v>
                </c:pt>
                <c:pt idx="4">
                  <c:v>55462</c:v>
                </c:pt>
              </c:numCache>
            </c:numRef>
          </c:val>
          <c:extLst>
            <c:ext xmlns:c16="http://schemas.microsoft.com/office/drawing/2014/chart" uri="{C3380CC4-5D6E-409C-BE32-E72D297353CC}">
              <c16:uniqueId val="{00000003-F417-4222-AD29-DEE3412AFBBB}"/>
            </c:ext>
          </c:extLst>
        </c:ser>
        <c:ser>
          <c:idx val="4"/>
          <c:order val="4"/>
          <c:tx>
            <c:strRef>
              <c:f>prihodi!$B$7</c:f>
              <c:strCache>
                <c:ptCount val="1"/>
                <c:pt idx="0">
                  <c:v>Upisnine</c:v>
                </c:pt>
              </c:strCache>
            </c:strRef>
          </c:tx>
          <c:spPr>
            <a:solidFill>
              <a:schemeClr val="accent5"/>
            </a:solidFill>
            <a:ln>
              <a:noFill/>
            </a:ln>
            <a:effectLst/>
          </c:spPr>
          <c:invertIfNegative val="0"/>
          <c:cat>
            <c:numRef>
              <c:f>prihodi!$C$2:$G$2</c:f>
              <c:numCache>
                <c:formatCode>General</c:formatCode>
                <c:ptCount val="5"/>
                <c:pt idx="0">
                  <c:v>2019</c:v>
                </c:pt>
                <c:pt idx="1">
                  <c:v>2020</c:v>
                </c:pt>
                <c:pt idx="2">
                  <c:v>2021</c:v>
                </c:pt>
                <c:pt idx="3">
                  <c:v>2022</c:v>
                </c:pt>
                <c:pt idx="4">
                  <c:v>2023</c:v>
                </c:pt>
              </c:numCache>
            </c:numRef>
          </c:cat>
          <c:val>
            <c:numRef>
              <c:f>prihodi!$C$7:$G$7</c:f>
              <c:numCache>
                <c:formatCode>#,##0</c:formatCode>
                <c:ptCount val="5"/>
                <c:pt idx="0">
                  <c:v>24805.229278651535</c:v>
                </c:pt>
                <c:pt idx="1">
                  <c:v>24763.81976242617</c:v>
                </c:pt>
                <c:pt idx="2">
                  <c:v>24332.736080695468</c:v>
                </c:pt>
                <c:pt idx="3">
                  <c:v>22196.164310836815</c:v>
                </c:pt>
                <c:pt idx="4">
                  <c:v>20454</c:v>
                </c:pt>
              </c:numCache>
            </c:numRef>
          </c:val>
          <c:extLst>
            <c:ext xmlns:c16="http://schemas.microsoft.com/office/drawing/2014/chart" uri="{C3380CC4-5D6E-409C-BE32-E72D297353CC}">
              <c16:uniqueId val="{00000004-F417-4222-AD29-DEE3412AFBBB}"/>
            </c:ext>
          </c:extLst>
        </c:ser>
        <c:ser>
          <c:idx val="5"/>
          <c:order val="5"/>
          <c:tx>
            <c:strRef>
              <c:f>prihodi!$B$8</c:f>
              <c:strCache>
                <c:ptCount val="1"/>
                <c:pt idx="0">
                  <c:v>Razredbeni postupak</c:v>
                </c:pt>
              </c:strCache>
            </c:strRef>
          </c:tx>
          <c:spPr>
            <a:solidFill>
              <a:schemeClr val="accent6"/>
            </a:solidFill>
            <a:ln>
              <a:noFill/>
            </a:ln>
            <a:effectLst/>
          </c:spPr>
          <c:invertIfNegative val="0"/>
          <c:cat>
            <c:numRef>
              <c:f>prihodi!$C$2:$G$2</c:f>
              <c:numCache>
                <c:formatCode>General</c:formatCode>
                <c:ptCount val="5"/>
                <c:pt idx="0">
                  <c:v>2019</c:v>
                </c:pt>
                <c:pt idx="1">
                  <c:v>2020</c:v>
                </c:pt>
                <c:pt idx="2">
                  <c:v>2021</c:v>
                </c:pt>
                <c:pt idx="3">
                  <c:v>2022</c:v>
                </c:pt>
                <c:pt idx="4">
                  <c:v>2023</c:v>
                </c:pt>
              </c:numCache>
            </c:numRef>
          </c:cat>
          <c:val>
            <c:numRef>
              <c:f>prihodi!$C$8:$G$8</c:f>
              <c:numCache>
                <c:formatCode>#,##0</c:formatCode>
                <c:ptCount val="5"/>
                <c:pt idx="0">
                  <c:v>398.16842524387812</c:v>
                </c:pt>
                <c:pt idx="1">
                  <c:v>132.72280841462606</c:v>
                </c:pt>
                <c:pt idx="2">
                  <c:v>289.60116796071401</c:v>
                </c:pt>
                <c:pt idx="3">
                  <c:v>298.62631893290859</c:v>
                </c:pt>
              </c:numCache>
            </c:numRef>
          </c:val>
          <c:extLst>
            <c:ext xmlns:c16="http://schemas.microsoft.com/office/drawing/2014/chart" uri="{C3380CC4-5D6E-409C-BE32-E72D297353CC}">
              <c16:uniqueId val="{00000005-F417-4222-AD29-DEE3412AFBBB}"/>
            </c:ext>
          </c:extLst>
        </c:ser>
        <c:ser>
          <c:idx val="6"/>
          <c:order val="6"/>
          <c:tx>
            <c:strRef>
              <c:f>prihodi!$B$9</c:f>
              <c:strCache>
                <c:ptCount val="1"/>
                <c:pt idx="0">
                  <c:v>Diplome, uvjerenja i sl.</c:v>
                </c:pt>
              </c:strCache>
            </c:strRef>
          </c:tx>
          <c:spPr>
            <a:solidFill>
              <a:schemeClr val="accent1">
                <a:lumMod val="60000"/>
              </a:schemeClr>
            </a:solidFill>
            <a:ln>
              <a:noFill/>
            </a:ln>
            <a:effectLst/>
          </c:spPr>
          <c:invertIfNegative val="0"/>
          <c:cat>
            <c:numRef>
              <c:f>prihodi!$C$2:$G$2</c:f>
              <c:numCache>
                <c:formatCode>General</c:formatCode>
                <c:ptCount val="5"/>
                <c:pt idx="0">
                  <c:v>2019</c:v>
                </c:pt>
                <c:pt idx="1">
                  <c:v>2020</c:v>
                </c:pt>
                <c:pt idx="2">
                  <c:v>2021</c:v>
                </c:pt>
                <c:pt idx="3">
                  <c:v>2022</c:v>
                </c:pt>
                <c:pt idx="4">
                  <c:v>2023</c:v>
                </c:pt>
              </c:numCache>
            </c:numRef>
          </c:cat>
          <c:val>
            <c:numRef>
              <c:f>prihodi!$C$9:$G$9</c:f>
              <c:numCache>
                <c:formatCode>#,##0</c:formatCode>
                <c:ptCount val="5"/>
                <c:pt idx="0">
                  <c:v>18050.301944389143</c:v>
                </c:pt>
                <c:pt idx="1">
                  <c:v>18342.292122901319</c:v>
                </c:pt>
                <c:pt idx="2">
                  <c:v>16377.994558364853</c:v>
                </c:pt>
                <c:pt idx="3">
                  <c:v>16076.713783263653</c:v>
                </c:pt>
                <c:pt idx="4">
                  <c:v>1617</c:v>
                </c:pt>
              </c:numCache>
            </c:numRef>
          </c:val>
          <c:extLst>
            <c:ext xmlns:c16="http://schemas.microsoft.com/office/drawing/2014/chart" uri="{C3380CC4-5D6E-409C-BE32-E72D297353CC}">
              <c16:uniqueId val="{00000006-F417-4222-AD29-DEE3412AFBBB}"/>
            </c:ext>
          </c:extLst>
        </c:ser>
        <c:dLbls>
          <c:showLegendKey val="0"/>
          <c:showVal val="0"/>
          <c:showCatName val="0"/>
          <c:showSerName val="0"/>
          <c:showPercent val="0"/>
          <c:showBubbleSize val="0"/>
        </c:dLbls>
        <c:gapWidth val="219"/>
        <c:overlap val="-27"/>
        <c:axId val="520779551"/>
        <c:axId val="424601855"/>
      </c:barChart>
      <c:lineChart>
        <c:grouping val="standard"/>
        <c:varyColors val="0"/>
        <c:ser>
          <c:idx val="7"/>
          <c:order val="7"/>
          <c:tx>
            <c:strRef>
              <c:f>prihodi!$B$10</c:f>
              <c:strCache>
                <c:ptCount val="1"/>
                <c:pt idx="0">
                  <c:v>PRIHODI OD ŠKOLARINA</c:v>
                </c:pt>
              </c:strCache>
            </c:strRef>
          </c:tx>
          <c:spPr>
            <a:ln w="28575" cap="rnd">
              <a:solidFill>
                <a:schemeClr val="accent2">
                  <a:lumMod val="60000"/>
                </a:schemeClr>
              </a:solidFill>
              <a:round/>
            </a:ln>
            <a:effectLst/>
          </c:spPr>
          <c:marker>
            <c:symbol val="none"/>
          </c:marker>
          <c:cat>
            <c:numRef>
              <c:f>prihodi!$C$2:$F$2</c:f>
              <c:numCache>
                <c:formatCode>General</c:formatCode>
                <c:ptCount val="4"/>
                <c:pt idx="0">
                  <c:v>2019</c:v>
                </c:pt>
                <c:pt idx="1">
                  <c:v>2020</c:v>
                </c:pt>
                <c:pt idx="2">
                  <c:v>2021</c:v>
                </c:pt>
                <c:pt idx="3">
                  <c:v>2022</c:v>
                </c:pt>
              </c:numCache>
            </c:numRef>
          </c:cat>
          <c:val>
            <c:numRef>
              <c:f>prihodi!$C$10:$G$10</c:f>
              <c:numCache>
                <c:formatCode>#,##0</c:formatCode>
                <c:ptCount val="5"/>
                <c:pt idx="0">
                  <c:v>991640.98480323842</c:v>
                </c:pt>
                <c:pt idx="1">
                  <c:v>945580.33047979278</c:v>
                </c:pt>
                <c:pt idx="2">
                  <c:v>852728.38277257921</c:v>
                </c:pt>
                <c:pt idx="3">
                  <c:v>832054.01818302472</c:v>
                </c:pt>
                <c:pt idx="4">
                  <c:v>664351</c:v>
                </c:pt>
              </c:numCache>
            </c:numRef>
          </c:val>
          <c:smooth val="0"/>
          <c:extLst>
            <c:ext xmlns:c16="http://schemas.microsoft.com/office/drawing/2014/chart" uri="{C3380CC4-5D6E-409C-BE32-E72D297353CC}">
              <c16:uniqueId val="{00000007-F417-4222-AD29-DEE3412AFBBB}"/>
            </c:ext>
          </c:extLst>
        </c:ser>
        <c:dLbls>
          <c:showLegendKey val="0"/>
          <c:showVal val="0"/>
          <c:showCatName val="0"/>
          <c:showSerName val="0"/>
          <c:showPercent val="0"/>
          <c:showBubbleSize val="0"/>
        </c:dLbls>
        <c:marker val="1"/>
        <c:smooth val="0"/>
        <c:axId val="520779551"/>
        <c:axId val="424601855"/>
      </c:lineChart>
      <c:catAx>
        <c:axId val="5207795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24601855"/>
        <c:crosses val="autoZero"/>
        <c:auto val="1"/>
        <c:lblAlgn val="ctr"/>
        <c:lblOffset val="100"/>
        <c:noMultiLvlLbl val="0"/>
      </c:catAx>
      <c:valAx>
        <c:axId val="42460185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207795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b="1"/>
              <a:t>PRIHODI OD EU PROJEKATA</a:t>
            </a:r>
            <a:endParaRPr lang="en-US" b="1"/>
          </a:p>
        </c:rich>
      </c:tx>
      <c:layout>
        <c:manualLayout>
          <c:xMode val="edge"/>
          <c:yMode val="edge"/>
          <c:x val="0.31705572530352705"/>
          <c:y val="1.150086256469235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manualLayout>
          <c:layoutTarget val="inner"/>
          <c:xMode val="edge"/>
          <c:yMode val="edge"/>
          <c:x val="0.12668737836341887"/>
          <c:y val="0.10337681591157491"/>
          <c:w val="0.84836931097898483"/>
          <c:h val="0.54387952738724932"/>
        </c:manualLayout>
      </c:layout>
      <c:barChart>
        <c:barDir val="col"/>
        <c:grouping val="clustered"/>
        <c:varyColors val="0"/>
        <c:ser>
          <c:idx val="0"/>
          <c:order val="0"/>
          <c:tx>
            <c:strRef>
              <c:f>'EU projekti'!$B$4</c:f>
              <c:strCache>
                <c:ptCount val="1"/>
                <c:pt idx="0">
                  <c:v>Erasmus, Interreg, Horizon (izvor 51)</c:v>
                </c:pt>
              </c:strCache>
            </c:strRef>
          </c:tx>
          <c:spPr>
            <a:solidFill>
              <a:schemeClr val="accent1"/>
            </a:solidFill>
            <a:ln>
              <a:noFill/>
            </a:ln>
            <a:effectLst/>
          </c:spPr>
          <c:invertIfNegative val="0"/>
          <c:cat>
            <c:strRef>
              <c:f>'EU projekti'!$C$3:$D$3</c:f>
              <c:strCache>
                <c:ptCount val="2"/>
                <c:pt idx="0">
                  <c:v>2022.</c:v>
                </c:pt>
                <c:pt idx="1">
                  <c:v>2023.</c:v>
                </c:pt>
              </c:strCache>
            </c:strRef>
          </c:cat>
          <c:val>
            <c:numRef>
              <c:f>'EU projekti'!$C$4:$D$4</c:f>
              <c:numCache>
                <c:formatCode>#,##0</c:formatCode>
                <c:ptCount val="2"/>
                <c:pt idx="0">
                  <c:v>1731416.5505342092</c:v>
                </c:pt>
                <c:pt idx="1">
                  <c:v>569797</c:v>
                </c:pt>
              </c:numCache>
            </c:numRef>
          </c:val>
          <c:extLst>
            <c:ext xmlns:c16="http://schemas.microsoft.com/office/drawing/2014/chart" uri="{C3380CC4-5D6E-409C-BE32-E72D297353CC}">
              <c16:uniqueId val="{00000000-E7B4-4193-9AF2-F204803BC1EB}"/>
            </c:ext>
          </c:extLst>
        </c:ser>
        <c:ser>
          <c:idx val="1"/>
          <c:order val="1"/>
          <c:tx>
            <c:strRef>
              <c:f>'EU projekti'!$B$5</c:f>
              <c:strCache>
                <c:ptCount val="1"/>
                <c:pt idx="0">
                  <c:v>Eureka, IAMU, ProtectAs, Prolog (izvor 52)</c:v>
                </c:pt>
              </c:strCache>
            </c:strRef>
          </c:tx>
          <c:spPr>
            <a:solidFill>
              <a:schemeClr val="accent2"/>
            </a:solidFill>
            <a:ln>
              <a:noFill/>
            </a:ln>
            <a:effectLst/>
          </c:spPr>
          <c:invertIfNegative val="0"/>
          <c:cat>
            <c:strRef>
              <c:f>'EU projekti'!$C$3:$D$3</c:f>
              <c:strCache>
                <c:ptCount val="2"/>
                <c:pt idx="0">
                  <c:v>2022.</c:v>
                </c:pt>
                <c:pt idx="1">
                  <c:v>2023.</c:v>
                </c:pt>
              </c:strCache>
            </c:strRef>
          </c:cat>
          <c:val>
            <c:numRef>
              <c:f>'EU projekti'!$C$5:$D$5</c:f>
              <c:numCache>
                <c:formatCode>#,##0</c:formatCode>
                <c:ptCount val="2"/>
                <c:pt idx="0">
                  <c:v>51870</c:v>
                </c:pt>
                <c:pt idx="1">
                  <c:v>19758</c:v>
                </c:pt>
              </c:numCache>
            </c:numRef>
          </c:val>
          <c:extLst>
            <c:ext xmlns:c16="http://schemas.microsoft.com/office/drawing/2014/chart" uri="{C3380CC4-5D6E-409C-BE32-E72D297353CC}">
              <c16:uniqueId val="{00000001-E7B4-4193-9AF2-F204803BC1EB}"/>
            </c:ext>
          </c:extLst>
        </c:ser>
        <c:ser>
          <c:idx val="2"/>
          <c:order val="2"/>
          <c:tx>
            <c:strRef>
              <c:f>'EU projekti'!$B$6</c:f>
              <c:strCache>
                <c:ptCount val="1"/>
                <c:pt idx="0">
                  <c:v>HKO projekti Medusa i Pandora (12 i 561)</c:v>
                </c:pt>
              </c:strCache>
            </c:strRef>
          </c:tx>
          <c:spPr>
            <a:solidFill>
              <a:schemeClr val="accent3"/>
            </a:solidFill>
            <a:ln>
              <a:noFill/>
            </a:ln>
            <a:effectLst/>
          </c:spPr>
          <c:invertIfNegative val="0"/>
          <c:cat>
            <c:strRef>
              <c:f>'EU projekti'!$C$3:$D$3</c:f>
              <c:strCache>
                <c:ptCount val="2"/>
                <c:pt idx="0">
                  <c:v>2022.</c:v>
                </c:pt>
                <c:pt idx="1">
                  <c:v>2023.</c:v>
                </c:pt>
              </c:strCache>
            </c:strRef>
          </c:cat>
          <c:val>
            <c:numRef>
              <c:f>'EU projekti'!$C$6:$D$6</c:f>
              <c:numCache>
                <c:formatCode>#,##0</c:formatCode>
                <c:ptCount val="2"/>
                <c:pt idx="0">
                  <c:v>299937</c:v>
                </c:pt>
                <c:pt idx="1">
                  <c:v>127642</c:v>
                </c:pt>
              </c:numCache>
            </c:numRef>
          </c:val>
          <c:extLst>
            <c:ext xmlns:c16="http://schemas.microsoft.com/office/drawing/2014/chart" uri="{C3380CC4-5D6E-409C-BE32-E72D297353CC}">
              <c16:uniqueId val="{00000002-E7B4-4193-9AF2-F204803BC1EB}"/>
            </c:ext>
          </c:extLst>
        </c:ser>
        <c:ser>
          <c:idx val="3"/>
          <c:order val="3"/>
          <c:tx>
            <c:strRef>
              <c:f>'EU projekti'!$B$7</c:f>
              <c:strCache>
                <c:ptCount val="1"/>
                <c:pt idx="0">
                  <c:v>CEKOM (izvor 6)</c:v>
                </c:pt>
              </c:strCache>
            </c:strRef>
          </c:tx>
          <c:spPr>
            <a:solidFill>
              <a:schemeClr val="accent4"/>
            </a:solidFill>
            <a:ln>
              <a:noFill/>
            </a:ln>
            <a:effectLst/>
          </c:spPr>
          <c:invertIfNegative val="0"/>
          <c:cat>
            <c:strRef>
              <c:f>'EU projekti'!$C$3:$D$3</c:f>
              <c:strCache>
                <c:ptCount val="2"/>
                <c:pt idx="0">
                  <c:v>2022.</c:v>
                </c:pt>
                <c:pt idx="1">
                  <c:v>2023.</c:v>
                </c:pt>
              </c:strCache>
            </c:strRef>
          </c:cat>
          <c:val>
            <c:numRef>
              <c:f>'EU projekti'!$C$7:$D$7</c:f>
              <c:numCache>
                <c:formatCode>#,##0</c:formatCode>
                <c:ptCount val="2"/>
                <c:pt idx="0">
                  <c:v>62397.770256818629</c:v>
                </c:pt>
                <c:pt idx="1">
                  <c:v>57770</c:v>
                </c:pt>
              </c:numCache>
            </c:numRef>
          </c:val>
          <c:extLst>
            <c:ext xmlns:c16="http://schemas.microsoft.com/office/drawing/2014/chart" uri="{C3380CC4-5D6E-409C-BE32-E72D297353CC}">
              <c16:uniqueId val="{00000003-E7B4-4193-9AF2-F204803BC1EB}"/>
            </c:ext>
          </c:extLst>
        </c:ser>
        <c:ser>
          <c:idx val="5"/>
          <c:order val="5"/>
          <c:tx>
            <c:strRef>
              <c:f>'EU projekti'!#REF!</c:f>
              <c:strCache>
                <c:ptCount val="1"/>
                <c:pt idx="0">
                  <c:v>#REF!</c:v>
                </c:pt>
              </c:strCache>
            </c:strRef>
          </c:tx>
          <c:spPr>
            <a:solidFill>
              <a:schemeClr val="accent6"/>
            </a:solidFill>
            <a:ln>
              <a:noFill/>
            </a:ln>
            <a:effectLst/>
          </c:spPr>
          <c:invertIfNegative val="0"/>
          <c:cat>
            <c:strRef>
              <c:f>'EU projekti'!$C$3:$D$3</c:f>
              <c:strCache>
                <c:ptCount val="2"/>
                <c:pt idx="0">
                  <c:v>2022.</c:v>
                </c:pt>
                <c:pt idx="1">
                  <c:v>2023.</c:v>
                </c:pt>
              </c:strCache>
            </c:strRef>
          </c:cat>
          <c:val>
            <c:numRef>
              <c:f>'EU projekti'!#REF!</c:f>
              <c:numCache>
                <c:formatCode>General</c:formatCode>
                <c:ptCount val="1"/>
                <c:pt idx="0">
                  <c:v>1</c:v>
                </c:pt>
              </c:numCache>
            </c:numRef>
          </c:val>
          <c:extLst>
            <c:ext xmlns:c16="http://schemas.microsoft.com/office/drawing/2014/chart" uri="{C3380CC4-5D6E-409C-BE32-E72D297353CC}">
              <c16:uniqueId val="{00000004-E7B4-4193-9AF2-F204803BC1EB}"/>
            </c:ext>
          </c:extLst>
        </c:ser>
        <c:ser>
          <c:idx val="6"/>
          <c:order val="6"/>
          <c:tx>
            <c:strRef>
              <c:f>rashodi!#REF!</c:f>
              <c:strCache>
                <c:ptCount val="1"/>
                <c:pt idx="0">
                  <c:v>#REF!</c:v>
                </c:pt>
              </c:strCache>
            </c:strRef>
          </c:tx>
          <c:spPr>
            <a:solidFill>
              <a:schemeClr val="accent1">
                <a:lumMod val="60000"/>
              </a:schemeClr>
            </a:solidFill>
            <a:ln>
              <a:noFill/>
            </a:ln>
            <a:effectLst/>
          </c:spPr>
          <c:invertIfNegative val="0"/>
          <c:cat>
            <c:strRef>
              <c:f>'EU projekti'!$C$3:$D$3</c:f>
              <c:strCache>
                <c:ptCount val="2"/>
                <c:pt idx="0">
                  <c:v>2022.</c:v>
                </c:pt>
                <c:pt idx="1">
                  <c:v>2023.</c:v>
                </c:pt>
              </c:strCache>
            </c:strRef>
          </c:cat>
          <c:val>
            <c:numRef>
              <c:f>rashodi!#REF!</c:f>
              <c:numCache>
                <c:formatCode>General</c:formatCode>
                <c:ptCount val="1"/>
                <c:pt idx="0">
                  <c:v>1</c:v>
                </c:pt>
              </c:numCache>
            </c:numRef>
          </c:val>
          <c:extLst>
            <c:ext xmlns:c16="http://schemas.microsoft.com/office/drawing/2014/chart" uri="{C3380CC4-5D6E-409C-BE32-E72D297353CC}">
              <c16:uniqueId val="{00000005-E7B4-4193-9AF2-F204803BC1EB}"/>
            </c:ext>
          </c:extLst>
        </c:ser>
        <c:ser>
          <c:idx val="9"/>
          <c:order val="9"/>
          <c:tx>
            <c:strRef>
              <c:f>'EU projekti'!#REF!</c:f>
              <c:strCache>
                <c:ptCount val="1"/>
                <c:pt idx="0">
                  <c:v>#REF!</c:v>
                </c:pt>
              </c:strCache>
            </c:strRef>
          </c:tx>
          <c:spPr>
            <a:solidFill>
              <a:schemeClr val="accent4">
                <a:lumMod val="60000"/>
              </a:schemeClr>
            </a:solidFill>
            <a:ln>
              <a:noFill/>
            </a:ln>
            <a:effectLst/>
          </c:spPr>
          <c:invertIfNegative val="0"/>
          <c:cat>
            <c:strRef>
              <c:f>'EU projekti'!$C$3:$D$3</c:f>
              <c:strCache>
                <c:ptCount val="2"/>
                <c:pt idx="0">
                  <c:v>2022.</c:v>
                </c:pt>
                <c:pt idx="1">
                  <c:v>2023.</c:v>
                </c:pt>
              </c:strCache>
            </c:strRef>
          </c:cat>
          <c:val>
            <c:numRef>
              <c:f>'EU projekti'!#REF!</c:f>
              <c:numCache>
                <c:formatCode>General</c:formatCode>
                <c:ptCount val="1"/>
                <c:pt idx="0">
                  <c:v>1</c:v>
                </c:pt>
              </c:numCache>
            </c:numRef>
          </c:val>
          <c:extLst>
            <c:ext xmlns:c16="http://schemas.microsoft.com/office/drawing/2014/chart" uri="{C3380CC4-5D6E-409C-BE32-E72D297353CC}">
              <c16:uniqueId val="{00000006-E7B4-4193-9AF2-F204803BC1EB}"/>
            </c:ext>
          </c:extLst>
        </c:ser>
        <c:ser>
          <c:idx val="10"/>
          <c:order val="10"/>
          <c:tx>
            <c:strRef>
              <c:f>rashodi!#REF!</c:f>
              <c:strCache>
                <c:ptCount val="1"/>
                <c:pt idx="0">
                  <c:v>#REF!</c:v>
                </c:pt>
              </c:strCache>
            </c:strRef>
          </c:tx>
          <c:spPr>
            <a:solidFill>
              <a:schemeClr val="accent5">
                <a:lumMod val="60000"/>
              </a:schemeClr>
            </a:solidFill>
            <a:ln>
              <a:noFill/>
            </a:ln>
            <a:effectLst/>
          </c:spPr>
          <c:invertIfNegative val="0"/>
          <c:cat>
            <c:strRef>
              <c:f>'EU projekti'!$C$3:$D$3</c:f>
              <c:strCache>
                <c:ptCount val="2"/>
                <c:pt idx="0">
                  <c:v>2022.</c:v>
                </c:pt>
                <c:pt idx="1">
                  <c:v>2023.</c:v>
                </c:pt>
              </c:strCache>
            </c:strRef>
          </c:cat>
          <c:val>
            <c:numRef>
              <c:f>rashodi!#REF!</c:f>
              <c:numCache>
                <c:formatCode>General</c:formatCode>
                <c:ptCount val="1"/>
                <c:pt idx="0">
                  <c:v>1</c:v>
                </c:pt>
              </c:numCache>
            </c:numRef>
          </c:val>
          <c:extLst>
            <c:ext xmlns:c16="http://schemas.microsoft.com/office/drawing/2014/chart" uri="{C3380CC4-5D6E-409C-BE32-E72D297353CC}">
              <c16:uniqueId val="{00000007-E7B4-4193-9AF2-F204803BC1EB}"/>
            </c:ext>
          </c:extLst>
        </c:ser>
        <c:dLbls>
          <c:showLegendKey val="0"/>
          <c:showVal val="0"/>
          <c:showCatName val="0"/>
          <c:showSerName val="0"/>
          <c:showPercent val="0"/>
          <c:showBubbleSize val="0"/>
        </c:dLbls>
        <c:gapWidth val="219"/>
        <c:overlap val="-27"/>
        <c:axId val="543230367"/>
        <c:axId val="522649183"/>
        <c:extLst>
          <c:ext xmlns:c15="http://schemas.microsoft.com/office/drawing/2012/chart" uri="{02D57815-91ED-43cb-92C2-25804820EDAC}">
            <c15:filteredBarSeries>
              <c15:ser>
                <c:idx val="4"/>
                <c:order val="4"/>
                <c:tx>
                  <c:strRef>
                    <c:extLst>
                      <c:ext uri="{02D57815-91ED-43cb-92C2-25804820EDAC}">
                        <c15:formulaRef>
                          <c15:sqref>'EU projekti'!$B$9</c15:sqref>
                        </c15:formulaRef>
                      </c:ext>
                    </c:extLst>
                    <c:strCache>
                      <c:ptCount val="1"/>
                      <c:pt idx="0">
                        <c:v>Doznake partnerima (DigLog, Pandora, Medusa)</c:v>
                      </c:pt>
                    </c:strCache>
                  </c:strRef>
                </c:tx>
                <c:spPr>
                  <a:solidFill>
                    <a:schemeClr val="accent5"/>
                  </a:solidFill>
                  <a:ln>
                    <a:noFill/>
                  </a:ln>
                  <a:effectLst/>
                </c:spPr>
                <c:invertIfNegative val="0"/>
                <c:cat>
                  <c:strRef>
                    <c:extLst>
                      <c:ext uri="{02D57815-91ED-43cb-92C2-25804820EDAC}">
                        <c15:formulaRef>
                          <c15:sqref>'EU projekti'!$C$3:$D$3</c15:sqref>
                        </c15:formulaRef>
                      </c:ext>
                    </c:extLst>
                    <c:strCache>
                      <c:ptCount val="2"/>
                      <c:pt idx="0">
                        <c:v>2022.</c:v>
                      </c:pt>
                      <c:pt idx="1">
                        <c:v>2023.</c:v>
                      </c:pt>
                    </c:strCache>
                  </c:strRef>
                </c:cat>
                <c:val>
                  <c:numRef>
                    <c:extLst>
                      <c:ext uri="{02D57815-91ED-43cb-92C2-25804820EDAC}">
                        <c15:formulaRef>
                          <c15:sqref>'EU projekti'!$D$8</c15:sqref>
                        </c15:formulaRef>
                      </c:ext>
                    </c:extLst>
                    <c:numCache>
                      <c:formatCode>#,##0</c:formatCode>
                      <c:ptCount val="1"/>
                      <c:pt idx="0">
                        <c:v>774967</c:v>
                      </c:pt>
                    </c:numCache>
                  </c:numRef>
                </c:val>
                <c:extLst>
                  <c:ext xmlns:c16="http://schemas.microsoft.com/office/drawing/2014/chart" uri="{C3380CC4-5D6E-409C-BE32-E72D297353CC}">
                    <c16:uniqueId val="{00000008-E7B4-4193-9AF2-F204803BC1EB}"/>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'EU projekti'!#REF!</c15:sqref>
                        </c15:formulaRef>
                      </c:ext>
                    </c:extLst>
                    <c:strCache>
                      <c:ptCount val="1"/>
                      <c:pt idx="0">
                        <c:v>#REF!</c:v>
                      </c:pt>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'EU projekti'!$C$3:$D$3</c15:sqref>
                        </c15:formulaRef>
                      </c:ext>
                    </c:extLst>
                    <c:strCache>
                      <c:ptCount val="2"/>
                      <c:pt idx="0">
                        <c:v>2022.</c:v>
                      </c:pt>
                      <c:pt idx="1">
                        <c:v>2023.</c:v>
                      </c:pt>
                    </c:strCache>
                  </c:strRef>
                </c:cat>
                <c:val>
                  <c:numRef>
                    <c:extLst xmlns:c15="http://schemas.microsoft.com/office/drawing/2012/chart">
                      <c:ext xmlns:c15="http://schemas.microsoft.com/office/drawing/2012/chart" uri="{02D57815-91ED-43cb-92C2-25804820EDAC}">
                        <c15:formulaRef>
                          <c15:sqref>'EU projekti'!$D$9</c15:sqref>
                        </c15:formulaRef>
                      </c:ext>
                    </c:extLst>
                    <c:numCache>
                      <c:formatCode>#,##0</c:formatCode>
                      <c:ptCount val="1"/>
                      <c:pt idx="0">
                        <c:v>11921</c:v>
                      </c:pt>
                    </c:numCache>
                  </c:numRef>
                </c:val>
                <c:extLst xmlns:c15="http://schemas.microsoft.com/office/drawing/2012/chart">
                  <c:ext xmlns:c16="http://schemas.microsoft.com/office/drawing/2014/chart" uri="{C3380CC4-5D6E-409C-BE32-E72D297353CC}">
                    <c16:uniqueId val="{00000009-E7B4-4193-9AF2-F204803BC1EB}"/>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'EU projekti'!$B$10</c15:sqref>
                        </c15:formulaRef>
                      </c:ext>
                    </c:extLst>
                    <c:strCache>
                      <c:ptCount val="1"/>
                      <c:pt idx="0">
                        <c:v>Ukupno:</c:v>
                      </c:pt>
                    </c:strCache>
                  </c:strRef>
                </c:tx>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'EU projekti'!$C$3:$D$3</c15:sqref>
                        </c15:formulaRef>
                      </c:ext>
                    </c:extLst>
                    <c:strCache>
                      <c:ptCount val="2"/>
                      <c:pt idx="0">
                        <c:v>2022.</c:v>
                      </c:pt>
                      <c:pt idx="1">
                        <c:v>2023.</c:v>
                      </c:pt>
                    </c:strCache>
                  </c:strRef>
                </c:cat>
                <c:val>
                  <c:numRef>
                    <c:extLst xmlns:c15="http://schemas.microsoft.com/office/drawing/2012/chart">
                      <c:ext xmlns:c15="http://schemas.microsoft.com/office/drawing/2012/chart" uri="{02D57815-91ED-43cb-92C2-25804820EDAC}">
                        <c15:formulaRef>
                          <c15:sqref>'EU projekti'!$D$10</c15:sqref>
                        </c15:formulaRef>
                      </c:ext>
                    </c:extLst>
                    <c:numCache>
                      <c:formatCode>#,##0</c:formatCode>
                      <c:ptCount val="1"/>
                      <c:pt idx="0">
                        <c:v>763046</c:v>
                      </c:pt>
                    </c:numCache>
                  </c:numRef>
                </c:val>
                <c:extLst xmlns:c15="http://schemas.microsoft.com/office/drawing/2012/chart">
                  <c:ext xmlns:c16="http://schemas.microsoft.com/office/drawing/2014/chart" uri="{C3380CC4-5D6E-409C-BE32-E72D297353CC}">
                    <c16:uniqueId val="{0000000A-E7B4-4193-9AF2-F204803BC1EB}"/>
                  </c:ext>
                </c:extLst>
              </c15:ser>
            </c15:filteredBarSeries>
          </c:ext>
        </c:extLst>
      </c:barChart>
      <c:catAx>
        <c:axId val="543230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22649183"/>
        <c:crosses val="autoZero"/>
        <c:auto val="1"/>
        <c:lblAlgn val="ctr"/>
        <c:lblOffset val="100"/>
        <c:noMultiLvlLbl val="0"/>
      </c:catAx>
      <c:valAx>
        <c:axId val="5226491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43230367"/>
        <c:crosses val="autoZero"/>
        <c:crossBetween val="between"/>
      </c:valAx>
      <c:spPr>
        <a:noFill/>
        <a:ln>
          <a:noFill/>
        </a:ln>
        <a:effectLst/>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2.812251935080453E-2"/>
          <c:y val="0.72529842625336005"/>
          <c:w val="0.82892388451443566"/>
          <c:h val="0.274701592847357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21D58-C280-47E9-AAA0-FA5EC7B9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9</Pages>
  <Words>3086</Words>
  <Characters>17594</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Brozić Puček</dc:creator>
  <cp:keywords/>
  <dc:description/>
  <cp:lastModifiedBy>Vladimirka Telenta</cp:lastModifiedBy>
  <cp:revision>15</cp:revision>
  <dcterms:created xsi:type="dcterms:W3CDTF">2022-09-28T15:06:00Z</dcterms:created>
  <dcterms:modified xsi:type="dcterms:W3CDTF">2024-02-09T11:23:00Z</dcterms:modified>
</cp:coreProperties>
</file>